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8457ddef14a.htm"/>
        <w:bookmarkStart w:id="1" w:name="ksd78457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KESTRA MEDICAL TECHNOLOGIES, LTD.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Dear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of directors (the Board of Directors) of Kestra Medical Technologies, Ltd. (the Company or Kestra), we are pleased to invite you to attend the Companys 2025 Annual General Meeting of Shareholders (the Annual Meeting), which will be held on Wednesday, September 3, 2025, at 11:30 a.m. Eastern Time. The Annual Meeting will be conducted virtually via live webcast. You will be able to attend the Annual Meeting, vote and submit questions virtually via live webcast by visiting www.virtualshareholdermeeting.com/KMTS2025. To be admitted to the Annual Meeting webcast, you must enter the 16-digit control number included on your proxy card, voter instruction form or Notice of Internet Availability of Proxy Materials (the Notice of Internet Availability) you received.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(the Proxy Statement) contains details of the business to be conducted at the Annual Meeting, which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two nominees identified in the accompanying Proxy Statement to serve as Class I directors until the Companys 2028 annual meeting of shareholders and until their successors are duly elected and qualified;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PricewaterhouseCoopers LLP as the Companys independent registered public accounting firm for the fiscal year ending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Kestra Medical Technologies, Ltd. 2025 Employee Stock Purchase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other business as may properly come before the Annual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shareholders at the Annual Meeting will receive the Companys audited financial statements (together with the auditor report of the Companys independent registered public accounting firm) for the fiscal year ended April 30, 2025 pursuant to the Bermuda Companies Act 1981, as amended, and the Companys Bye-laws.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attend the Annual Meeting online, it is important that your shares be represented and voted at the Annual Meeting. Therefore, we urge you to promptly vote and submit your proxy via the Internet, by phone, or by mail. Voting by proxy will ensure your representation at the Annual Meeting regardless of whether you attend. If you decide to attend the Annual Meeting online, you will be able to vote electronically or via phone using the 16-digit control number, even if you have previously submitted your proxy.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of Directors, we would like to express our appreciation for your interest and support in Kestra.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Brian Webster</w:t>
            </w:r>
          </w:p>
          <w:p>
            <w:pPr>
              <w:pStyle w:val="TableContents"/>
              <w:bidi w:val="0"/>
              <w:spacing w:before="0" w:after="0"/>
              <w:jc w:val="left"/>
              <w:rPr>
                <w:rFonts w:ascii="Times New Roman" w:hAnsi="Times New Roman"/>
                <w:sz w:val="20"/>
              </w:rPr>
            </w:pPr>
            <w:r>
              <w:rPr>
                <w:rFonts w:ascii="Times New Roman" w:hAnsi="Times New Roman"/>
                <w:sz w:val="20"/>
              </w:rPr>
              <w:t>Brian Webster</w:t>
            </w:r>
          </w:p>
          <w:p>
            <w:pPr>
              <w:pStyle w:val="TableContents"/>
              <w:bidi w:val="0"/>
              <w:spacing w:before="0" w:after="20"/>
              <w:jc w:val="left"/>
              <w:rPr>
                <w:rFonts w:ascii="Times New Roman" w:hAnsi="Times New Roman"/>
                <w:sz w:val="20"/>
              </w:rPr>
            </w:pPr>
            <w:r>
              <w:rPr>
                <w:rFonts w:ascii="Times New Roman" w:hAnsi="Times New Roman"/>
                <w:sz w:val="20"/>
              </w:rPr>
              <w:t>President, Chief Executive Officer and Director</w:t>
            </w:r>
          </w:p>
        </w:tc>
        <w:tc>
          <w:tcPr>
            <w:tcW w:w="207" w:type="dxa"/>
            <w:tcBorders/>
            <w:vAlign w:val="bottom"/>
          </w:tcPr>
          <w:p>
            <w:pPr>
              <w:pStyle w:val="TableContents"/>
              <w:bidi w:val="0"/>
              <w:spacing w:before="0" w:after="283"/>
              <w:jc w:val="left"/>
              <w:rPr/>
            </w:pPr>
            <w:r>
              <w:rPr/>
              <w:t>  </w:t>
            </w:r>
          </w:p>
        </w:tc>
        <w:tc>
          <w:tcPr>
            <w:tcW w:w="5312"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Jeffrey Schwartz</w:t>
            </w:r>
          </w:p>
          <w:p>
            <w:pPr>
              <w:pStyle w:val="TableContents"/>
              <w:bidi w:val="0"/>
              <w:spacing w:before="0" w:after="0"/>
              <w:jc w:val="left"/>
              <w:rPr>
                <w:rFonts w:ascii="Times New Roman" w:hAnsi="Times New Roman"/>
                <w:sz w:val="20"/>
              </w:rPr>
            </w:pPr>
            <w:r>
              <w:rPr>
                <w:rFonts w:ascii="Times New Roman" w:hAnsi="Times New Roman"/>
                <w:sz w:val="20"/>
              </w:rPr>
              <w:t>Jeffrey Schwartz</w:t>
            </w:r>
          </w:p>
          <w:p>
            <w:pPr>
              <w:pStyle w:val="TableContents"/>
              <w:bidi w:val="0"/>
              <w:spacing w:before="0" w:after="20"/>
              <w:jc w:val="left"/>
              <w:rPr>
                <w:rFonts w:ascii="Times New Roman" w:hAnsi="Times New Roman"/>
                <w:sz w:val="20"/>
              </w:rPr>
            </w:pPr>
            <w:r>
              <w:rPr>
                <w:rFonts w:ascii="Times New Roman" w:hAnsi="Times New Roman"/>
                <w:sz w:val="20"/>
              </w:rPr>
              <w:t>Chairman of the Board of Directors</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NOTICE OF THE 2025 ANNUAL GENERAL MEETING OF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Meeting 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2025 Annual General Meeting of Shareholders (the Annual Meeting) of Kestra Medical Technologies, Ltd. (the Company or Kestra) will be held on September 3, 2025, at 11:30 a.m. Eastern Time.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will be virtual-only. You will be able to attend the Annual Meeting, vote and submit questions virtually via live webcast by visiting www.virtualshareholdermeeting.com/KMTS2025. You can attend the Annual Meeting, vote your shares electronically, and submit your questions during the Annual Meeting by visiting www.virtualshareholdermeeting.com/KMTS2025. To be admitted to the Annual Meeting webcast, you must enter the 16-digit control number included on your proxy card, voter instruction form or Notice of Internet Availability of Proxy Materials (the Notice of Internet Availability) you received. The webcast is designed to provide shareholders the opportunity to participate virtually to facilitate shareholder attendance and to provide a consistent experience to all shareholders, regardless of location. For further information on Annual Meeting logistics, see the section titled Commonly Asked Questions and Answers About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Agenda </w:t>
      </w:r>
    </w:p>
    <w:p>
      <w:pPr>
        <w:pStyle w:val="TextBody"/>
        <w:bidi w:val="0"/>
        <w:spacing w:before="120" w:after="0"/>
        <w:jc w:val="left"/>
        <w:rPr>
          <w:rFonts w:ascii="Times New Roman" w:hAnsi="Times New Roman"/>
          <w:sz w:val="20"/>
        </w:rPr>
      </w:pPr>
      <w:r>
        <w:rPr>
          <w:rFonts w:ascii="Times New Roman" w:hAnsi="Times New Roman"/>
          <w:sz w:val="20"/>
        </w:rPr>
        <w:t xml:space="preserve">The Annual Meeting will be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two nominees identified in the accompanying proxy statement (the Proxy Statement) to serve as Class I directors until the Companys 2028 annual meeting of shareholders and until their successors are duly elected and qualified;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PricewaterhouseCoopers LLP as the Companys independent registered public accounting firm for the fiscal year ending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Kestra Medical Technologies, Ltd. 2025 Employee Stock Purchase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other business as may properly come before the Annual Meeting or any adjournment or postponement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Items </w:t>
      </w:r>
    </w:p>
    <w:p>
      <w:pPr>
        <w:pStyle w:val="TextBody"/>
        <w:bidi w:val="0"/>
        <w:spacing w:before="120" w:after="0"/>
        <w:jc w:val="left"/>
        <w:rPr>
          <w:rFonts w:ascii="Times New Roman" w:hAnsi="Times New Roman"/>
          <w:sz w:val="20"/>
        </w:rPr>
      </w:pPr>
      <w:r>
        <w:rPr>
          <w:rFonts w:ascii="Times New Roman" w:hAnsi="Times New Roman"/>
          <w:sz w:val="20"/>
        </w:rPr>
        <w:t xml:space="preserve">Additionally, in accordance with the Bermuda Companies Act 1981, as amended, and Bye-law 176 of the Companys Bye-laws, the Companys audited financial statements for the year ended April 30, 2025 (together with the auditor report of the Companys independent registered accounting firm), contained within the Companys Annual Report on Form 10-K for the fiscal year ended April 30, 2025 (the Annual Report), will be presented at the Annual Meeting. The Board of Directors has approved these statements. There is no requirement under Bermuda law that these statements be approved by shareholders and no such approval will be sought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Shareholders of record as of the close of business on July 7, 2025 are entitled to notice of and to vote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Board Recommendations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recommends that you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election of the director nominees named in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ratification of PricewaterhouseCoopers LLP as the Companys independent registered public accounting firm, as described in Proposal No. 2; and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approval of the Kestra Medical Technologies, Ltd. 2025 Employee Stock Purchase Plan, as described in Proposal No. 3. </w:t>
            </w:r>
          </w:p>
        </w:tc>
      </w:tr>
    </w:tbl>
    <w:p>
      <w:pPr>
        <w:pStyle w:val="TextBody"/>
        <w:bidi w:val="0"/>
        <w:spacing w:before="240" w:after="0"/>
        <w:jc w:val="left"/>
        <w:rPr>
          <w:rFonts w:ascii="Times New Roman" w:hAnsi="Times New Roman"/>
          <w:sz w:val="20"/>
        </w:rPr>
      </w:pPr>
      <w:r>
        <w:rPr>
          <w:rFonts w:ascii="Times New Roman" w:hAnsi="Times New Roman"/>
          <w:sz w:val="20"/>
        </w:rPr>
        <w:t>Your vote is important. Whether or not you plan to attend the Annual Meeting online, we encourage you to read the accompanying Proxy Statement and our Annual Report on Form 10-K for the fiscal year ended April 30, 2025 (the Annual Report), and submit your proxy as soon as possible using one of the three voting methods described in the </w:t>
      </w:r>
      <w:r>
        <w:rPr>
          <w:rFonts w:ascii="Times New Roman" w:hAnsi="Times New Roman"/>
          <w:i/>
          <w:sz w:val="20"/>
        </w:rPr>
        <w:t>Commonly Asked Questions and Answers About the Annual Meeting</w:t>
      </w:r>
      <w:r>
        <w:rPr>
          <w:rFonts w:ascii="Times New Roman" w:hAnsi="Times New Roman"/>
          <w:sz w:val="20"/>
        </w:rPr>
        <w:t xml:space="preserve"> section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sz w:val="20"/>
        </w:rPr>
      </w:pPr>
      <w:r>
        <w:rPr>
          <w:rFonts w:ascii="Times New Roman" w:hAnsi="Times New Roman"/>
          <w:sz w:val="20"/>
          <w:u w:val="single"/>
        </w:rPr>
        <w:t>/s/ Traci S. Umberger  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Traci S. Umberger </w:t>
      </w:r>
    </w:p>
    <w:p>
      <w:pPr>
        <w:pStyle w:val="TextBody"/>
        <w:bidi w:val="0"/>
        <w:spacing w:before="0" w:after="0"/>
        <w:jc w:val="left"/>
        <w:rPr>
          <w:rFonts w:ascii="Times New Roman" w:hAnsi="Times New Roman"/>
          <w:sz w:val="20"/>
        </w:rPr>
      </w:pPr>
      <w:r>
        <w:rPr>
          <w:rFonts w:ascii="Times New Roman" w:hAnsi="Times New Roman"/>
          <w:sz w:val="20"/>
        </w:rPr>
        <w:t xml:space="preserve">General Counsel, Chief Administrative Officer and Director </w:t>
      </w:r>
    </w:p>
    <w:p>
      <w:pPr>
        <w:pStyle w:val="TextBody"/>
        <w:bidi w:val="0"/>
        <w:spacing w:before="360" w:after="0"/>
        <w:jc w:val="left"/>
        <w:rPr>
          <w:rFonts w:ascii="Times New Roman" w:hAnsi="Times New Roman"/>
          <w:sz w:val="20"/>
        </w:rPr>
      </w:pPr>
      <w:r>
        <w:rPr>
          <w:rFonts w:ascii="Times New Roman" w:hAnsi="Times New Roman"/>
          <w:sz w:val="20"/>
        </w:rPr>
        <w:t xml:space="preserve">July 22, 2025 </w:t>
      </w:r>
    </w:p>
    <w:p>
      <w:pPr>
        <w:pStyle w:val="TextBody"/>
        <w:bidi w:val="0"/>
        <w:spacing w:before="0" w:after="0"/>
        <w:jc w:val="left"/>
        <w:rPr>
          <w:rFonts w:ascii="Times New Roman" w:hAnsi="Times New Roman"/>
          <w:sz w:val="20"/>
        </w:rPr>
      </w:pPr>
      <w:r>
        <w:rPr>
          <w:rFonts w:ascii="Times New Roman" w:hAnsi="Times New Roman"/>
          <w:sz w:val="20"/>
        </w:rPr>
        <w:t xml:space="preserve">Kirkland, Washington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IMPORTANT NOTICE REGARDING THE AVAILABILITY OF PROXY MATERIALS FOR THE ANNUAL MEETING OF SHAREHOLDERS TO BE HELD ON SEPTEMBER 3, 2025. </w:t>
      </w:r>
    </w:p>
    <w:p>
      <w:pPr>
        <w:pStyle w:val="TextBody"/>
        <w:pBdr/>
        <w:bidi w:val="0"/>
        <w:spacing w:before="24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Notice of Annual Meeting, the Proxy Statement and the Annual Report are available on our website at https://investors.kestramedical.com. Additionally, you may access our proxy materials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The Notice of Internet Availability of proxy materials is first being delivered to the Companys shareholders of record on or about July 22, 2025. </w:t>
      </w:r>
    </w:p>
    <w:p>
      <w:pPr>
        <w:pStyle w:val="TextBody"/>
        <w:bidi w:val="0"/>
        <w:spacing w:before="240" w:after="0"/>
        <w:jc w:val="left"/>
        <w:rPr>
          <w:rFonts w:ascii="Times New Roman" w:hAnsi="Times New Roman"/>
          <w:b/>
          <w:sz w:val="20"/>
        </w:rPr>
      </w:pPr>
      <w:r>
        <w:rPr>
          <w:rFonts w:ascii="Times New Roman" w:hAnsi="Times New Roman"/>
          <w:b/>
          <w:sz w:val="20"/>
        </w:rPr>
        <w:t xml:space="preserve">The appointment of a proxy must be received not later than September 2, 2025 at 11:59 Eastern Time, or such other deadline determined for any adjourned meeting.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u w:val="single"/>
        </w:rPr>
        <w:t>TABLE OF CONTENTS</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8"/>
        <w:gridCol w:w="253"/>
        <w:gridCol w:w="67"/>
        <w:gridCol w:w="464"/>
        <w:gridCol w:w="63"/>
      </w:tblGrid>
      <w:tr>
        <w:trPr/>
        <w:tc>
          <w:tcPr>
            <w:tcW w:w="9358"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5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5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1">
              <w:r>
                <w:rPr>
                  <w:rStyle w:val="InternetLink"/>
                  <w:rFonts w:ascii="Times New Roman" w:hAnsi="Times New Roman"/>
                  <w:sz w:val="20"/>
                </w:rPr>
                <w:t>PROXY STATEMENT FOR THE 2025 ANNUAL MEETING OF SHAREHOLDERS SEPTEMBER 3, 2025</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2">
              <w:r>
                <w:rPr>
                  <w:rStyle w:val="InternetLink"/>
                  <w:rFonts w:ascii="Times New Roman" w:hAnsi="Times New Roman"/>
                  <w:sz w:val="20"/>
                </w:rPr>
                <w:t>COMMONLY ASKED QUESTIONS AND ANSWERS ABOUT THE ANNUAL MEETING</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3">
              <w:r>
                <w:rPr>
                  <w:rStyle w:val="InternetLink"/>
                  <w:rFonts w:ascii="Times New Roman" w:hAnsi="Times New Roman"/>
                  <w:sz w:val="20"/>
                </w:rPr>
                <w:t>PROPOSAL NO. 1 ELECTION OF DIRECTORS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4">
              <w:r>
                <w:rPr>
                  <w:rStyle w:val="InternetLink"/>
                  <w:rFonts w:ascii="Times New Roman" w:hAnsi="Times New Roman"/>
                  <w:sz w:val="20"/>
                </w:rPr>
                <w:t>CORPORATE GOVERNANCE</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5">
              <w:r>
                <w:rPr>
                  <w:rStyle w:val="InternetLink"/>
                  <w:rFonts w:ascii="Times New Roman" w:hAnsi="Times New Roman"/>
                  <w:sz w:val="20"/>
                </w:rPr>
                <w:t>TRANSACTIONS WITH RELATED PARTIES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6">
              <w:r>
                <w:rPr>
                  <w:rStyle w:val="InternetLink"/>
                  <w:rFonts w:ascii="Times New Roman" w:hAnsi="Times New Roman"/>
                  <w:sz w:val="20"/>
                </w:rPr>
                <w:t>DIRECTOR COMPENSATION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7">
              <w:r>
                <w:rPr>
                  <w:rStyle w:val="InternetLink"/>
                  <w:rFonts w:ascii="Times New Roman" w:hAnsi="Times New Roman"/>
                  <w:sz w:val="20"/>
                </w:rPr>
                <w:t>PROPOSAL NO. 2 RATIFICATION OF SELECTION OF INDEPENDENT REGISTERED PUBLIC ACCOUNTING FIRM</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8">
              <w:r>
                <w:rPr>
                  <w:rStyle w:val="InternetLink"/>
                  <w:rFonts w:ascii="Times New Roman" w:hAnsi="Times New Roman"/>
                  <w:sz w:val="20"/>
                </w:rPr>
                <w:t>REPORT OF THE AUDIT COMMITTEE OF THE BOARD OF DIRECTORS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9">
              <w:r>
                <w:rPr>
                  <w:rStyle w:val="InternetLink"/>
                  <w:rFonts w:ascii="Times New Roman" w:hAnsi="Times New Roman"/>
                  <w:sz w:val="20"/>
                </w:rPr>
                <w:t>PROPOSAL NO. 3 APPROVAL OF 2025 EMPLOYEE STOCK PUCHASE PLAN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10">
              <w:r>
                <w:rPr>
                  <w:rStyle w:val="InternetLink"/>
                  <w:rFonts w:ascii="Times New Roman" w:hAnsi="Times New Roman"/>
                  <w:sz w:val="20"/>
                </w:rPr>
                <w:t>EXECUTIVE OFFICERS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11">
              <w:r>
                <w:rPr>
                  <w:rStyle w:val="InternetLink"/>
                  <w:rFonts w:ascii="Times New Roman" w:hAnsi="Times New Roman"/>
                  <w:sz w:val="20"/>
                </w:rPr>
                <w:t>EXECUTIVE COMPENSATION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12">
              <w:r>
                <w:rPr>
                  <w:rStyle w:val="InternetLink"/>
                  <w:rFonts w:ascii="Times New Roman" w:hAnsi="Times New Roman"/>
                  <w:sz w:val="20"/>
                </w:rPr>
                <w:t>SECURITY OWNERSHIP OF CERTAIN BENEFICIAL OWNERS AND MANAGEMENT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13">
              <w:r>
                <w:rPr>
                  <w:rStyle w:val="InternetLink"/>
                  <w:rFonts w:ascii="Times New Roman" w:hAnsi="Times New Roman"/>
                  <w:sz w:val="20"/>
                </w:rPr>
                <w:t>DELINQUENT SECTION 16(A) REPORTS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14">
              <w:r>
                <w:rPr>
                  <w:rStyle w:val="InternetLink"/>
                  <w:rFonts w:ascii="Times New Roman" w:hAnsi="Times New Roman"/>
                  <w:sz w:val="20"/>
                </w:rPr>
                <w:t>ADDITIONAL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358" w:type="dxa"/>
            <w:tcBorders/>
            <w:vAlign w:val="bottom"/>
          </w:tcPr>
          <w:p>
            <w:pPr>
              <w:pStyle w:val="TableContents"/>
              <w:bidi w:val="0"/>
              <w:spacing w:before="0" w:after="0"/>
              <w:jc w:val="left"/>
              <w:rPr/>
            </w:pPr>
            <w:hyperlink w:anchor="toc78457_15">
              <w:r>
                <w:rPr>
                  <w:rStyle w:val="InternetLink"/>
                  <w:rFonts w:ascii="Times New Roman" w:hAnsi="Times New Roman"/>
                  <w:sz w:val="20"/>
                </w:rPr>
                <w:t>ANNEX A EMPLOYEE STOCK PURCHASE PLAN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contains forward-looking statements. These statements involve known and unknown risks, uncertainties and other factors that may cause our actual results, levels of activity, performance or achievements to be materially different from the information expressed or implied by these forward-looking statements; and other statements that are not historical fact, and actual results could differ materially. Risks that could cause actual results to differ are set forth in the Risk Factors section of, and elsewhere in, our Annual Report on Form 10-K for the fiscal year ended April 30, 2025, and our other filings with the Securities and Exchange Commission (SEC). Readers are cautioned not to place undue reliance on these forward-looking statements, which speak only as of the date hereof and are based on management estimates, projections, and assumptions, and we undertake no obligation to update any such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documents and information referenced in this proxy statement are available on our website. However, we are not including the information contained on our website, or any information that may be accessed by links on our website, as part of, or incorporating it by reference into,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expressly stated or context requires otherwise, information in this proxy statement is as of July 22,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78457_1"/>
      <w:bookmarkEnd w:id="3"/>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2025 ANNUAL GENERAL MEETING OF SHAREHOLDERS </w:t>
      </w:r>
    </w:p>
    <w:p>
      <w:pPr>
        <w:pStyle w:val="TextBody"/>
        <w:bidi w:val="0"/>
        <w:spacing w:before="0" w:after="0"/>
        <w:jc w:val="center"/>
        <w:rPr>
          <w:rFonts w:ascii="Times New Roman" w:hAnsi="Times New Roman"/>
          <w:b/>
          <w:sz w:val="20"/>
        </w:rPr>
      </w:pPr>
      <w:r>
        <w:rPr>
          <w:rFonts w:ascii="Times New Roman" w:hAnsi="Times New Roman"/>
          <w:b/>
          <w:sz w:val="20"/>
        </w:rPr>
        <w:t xml:space="preserve">SEPTEMBER 3, 2025 </w:t>
      </w:r>
    </w:p>
    <w:p>
      <w:pPr>
        <w:pStyle w:val="TextBody"/>
        <w:bidi w:val="0"/>
        <w:spacing w:before="240" w:after="0"/>
        <w:jc w:val="left"/>
        <w:rPr>
          <w:rFonts w:ascii="Times New Roman" w:hAnsi="Times New Roman"/>
          <w:sz w:val="20"/>
        </w:rPr>
      </w:pPr>
      <w:r>
        <w:rPr>
          <w:rFonts w:ascii="Times New Roman" w:hAnsi="Times New Roman"/>
          <w:sz w:val="20"/>
        </w:rPr>
        <w:t xml:space="preserve">We have sent you this Proxy Statement and the enclosed proxy card because the Board of Directors (the Board) of Kestra Medical Technologies, Ltd. (referred to herein as the Company, Kestra, we, us, or our) is soliciting your proxy to vote at our 2025 Annual General Meeting of Shareholders (the Annual Meeting), which will be held on Wednesday, September 3, 2025, at 11:30 a.m. Eastern Time. The Annual Meeting will be held online via live webcast at www.virtualshareholdermeeting.com/KMTS2025.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summarizes information about the proposals to be considered at the Annual Meeting and other information you may find useful in determining how to vote. The proxy card is the means by which you authorize another person to vote your shares in accordance with your instructions.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to take advantage of the Notice and Access rules adopted by the Securities and Exchange Commission (the SEC), which allow us to provide shareholders access to our proxy materials over the internet in lieu of mailing printed copies. The Notice of Annual Meeting, the Proxy Statement and the Annual Report are available on our website at https://investors.kestramedical.com. Additionally, you may access our proxy materials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We will begin mailing the Notice of Internet Availability to our shareholders of record as of July 7, 2025 (the Record Date) for the first time on or about July 22, 2025. The Notice of Internet Availability contains instructions regarding how you can elect to receive these proxy materials in printed form by mail or electronically by email. This election to receive proxy materials by mail or email will remain in effect until you terminate it. </w:t>
      </w:r>
    </w:p>
    <w:p>
      <w:pPr>
        <w:pStyle w:val="TextBody"/>
        <w:bidi w:val="0"/>
        <w:spacing w:before="240" w:after="0"/>
        <w:jc w:val="left"/>
        <w:rPr>
          <w:rFonts w:ascii="Times New Roman" w:hAnsi="Times New Roman"/>
          <w:sz w:val="20"/>
        </w:rPr>
      </w:pPr>
      <w:r>
        <w:rPr>
          <w:rFonts w:ascii="Times New Roman" w:hAnsi="Times New Roman"/>
          <w:sz w:val="20"/>
        </w:rPr>
        <w:t xml:space="preserve">The Notice of Internet Availability will contain instructions on how to access and review the proxy materials and will also contain instructions on how to request a printed copy of the proxy materials. In addition, we have provided brokers, dealers, banks, voting trustees, and their nominees, at our expense, with additional copies of our proxy materials and the Annual Report so that our shareholders of record can supply these materials to the beneficial owners of shares of our common shares as of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78457_2"/>
      <w:bookmarkEnd w:id="4"/>
      <w:r>
        <w:rPr>
          <w:rFonts w:ascii="Times New Roman" w:hAnsi="Times New Roman"/>
          <w:b/>
          <w:sz w:val="20"/>
        </w:rPr>
        <w:t xml:space="preserve">COMMONLY ASKED QUESTIONS AND ANSWERS ABOUT THE ANNUAL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Why am I receiving these materials? </w:t>
      </w:r>
    </w:p>
    <w:p>
      <w:pPr>
        <w:pStyle w:val="TextBody"/>
        <w:bidi w:val="0"/>
        <w:spacing w:before="120" w:after="0"/>
        <w:jc w:val="left"/>
        <w:rPr>
          <w:rFonts w:ascii="Times New Roman" w:hAnsi="Times New Roman"/>
          <w:sz w:val="20"/>
        </w:rPr>
      </w:pPr>
      <w:r>
        <w:rPr>
          <w:rFonts w:ascii="Times New Roman" w:hAnsi="Times New Roman"/>
          <w:sz w:val="20"/>
        </w:rPr>
        <w:t xml:space="preserve">We have made the Proxy Statement and the proxy card available to you on the internet or, upon your request, have delivered printed proxy materials to you, because the Board is soliciting your proxy to vote at the Annual Meeting, including at any adjournments or postponements of the Annual Meeting. You are invited to attend the Annual Meeting online to vote on the proposals described in this Proxy Statement. However, you do not need to attend the Annual Meeting to vote your shares. Instead, you may complete, sign, and return the proxy card, or follow the instructions below to submit your proxy over the telephone or on the internet. </w:t>
      </w:r>
    </w:p>
    <w:p>
      <w:pPr>
        <w:pStyle w:val="TextBody"/>
        <w:bidi w:val="0"/>
        <w:spacing w:before="240" w:after="0"/>
        <w:jc w:val="left"/>
        <w:rPr>
          <w:rFonts w:ascii="Times New Roman" w:hAnsi="Times New Roman"/>
          <w:sz w:val="20"/>
        </w:rPr>
      </w:pPr>
      <w:r>
        <w:rPr>
          <w:rFonts w:ascii="Times New Roman" w:hAnsi="Times New Roman"/>
          <w:sz w:val="20"/>
        </w:rPr>
        <w:t xml:space="preserve">The Notice of Annual Meeting, Proxy Statement and the accompanying proxy card will be first made available for access on or about July 22, 2025, to all shareholders of record entitled to vote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Who can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Shareholders of record who own our common shares as of the close of business on July 7, 2025 (the Record Date) are entitled to vote at the Annual Meeting. At the close of business on the Record Date, there were 51,348,656 shares of common shares issued and outstanding and entitled to vote.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of Record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with the transfer agent for our common shares, Computershare Trust Company, N.A., then you are a shareholder of record. As a shareholder of record, you may vote at the Annual Meeting by attending the Annual Meeting online or you may vote by proxy. Whether or not you plan to attend the Annual Meeting online, we encourage you to fill out and return the proxy card or vote by proxy over the telephone or on the internet as instructed below to ensure your vote is counted.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held in an account at a brokerage firm, bank, dealer, custodian, or other similar organization acting as nominee (each, a broker), then you are the beneficial owner of shares held in street name and these proxy materials are being forwarded to you by your broker. As a beneficial owner, you have the right to direct your broker or other agent on how to vote the shares in your account.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quorum requirement? </w:t>
      </w:r>
    </w:p>
    <w:p>
      <w:pPr>
        <w:pStyle w:val="TextBody"/>
        <w:bidi w:val="0"/>
        <w:spacing w:before="120" w:after="0"/>
        <w:jc w:val="left"/>
        <w:rPr>
          <w:rFonts w:ascii="Times New Roman" w:hAnsi="Times New Roman"/>
          <w:sz w:val="20"/>
        </w:rPr>
      </w:pPr>
      <w:r>
        <w:rPr>
          <w:rFonts w:ascii="Times New Roman" w:hAnsi="Times New Roman"/>
          <w:sz w:val="20"/>
        </w:rPr>
        <w:t xml:space="preserve">A quorum is necessary to conduct business at the Annual Meeting. A quorum will be present if two or more holders are present in attendance or represented by proxy at the Annual Meeting and represent in excess of 50% of the total issued common shares of the Company that are entitled to vote at the Annual Meeting. You are part of the quorum if you have timely returned a properly executed proxy card. Abstentions and broker non-votes also are counted in determining whether a quorum is present. (See below regarding broker non-votes.) </w:t>
      </w:r>
    </w:p>
    <w:p>
      <w:pPr>
        <w:pStyle w:val="TextBody"/>
        <w:bidi w:val="0"/>
        <w:spacing w:before="360" w:after="0"/>
        <w:jc w:val="left"/>
        <w:rPr>
          <w:rFonts w:ascii="Times New Roman" w:hAnsi="Times New Roman"/>
          <w:b/>
          <w:sz w:val="20"/>
        </w:rPr>
      </w:pPr>
      <w:r>
        <w:rPr>
          <w:rFonts w:ascii="Times New Roman" w:hAnsi="Times New Roman"/>
          <w:b/>
          <w:sz w:val="20"/>
        </w:rPr>
        <w:t xml:space="preserve">What am I being asked to vote on? </w:t>
      </w:r>
    </w:p>
    <w:p>
      <w:pPr>
        <w:pStyle w:val="TextBody"/>
        <w:bidi w:val="0"/>
        <w:spacing w:before="120" w:after="0"/>
        <w:jc w:val="left"/>
        <w:rPr>
          <w:rFonts w:ascii="Times New Roman" w:hAnsi="Times New Roman"/>
          <w:sz w:val="20"/>
        </w:rPr>
      </w:pPr>
      <w:r>
        <w:rPr>
          <w:rFonts w:ascii="Times New Roman" w:hAnsi="Times New Roman"/>
          <w:sz w:val="20"/>
        </w:rPr>
        <w:t xml:space="preserve">You will be voting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Conor Hanley and Elizabeth Kwo to serve as Class I directors until the Companys 2028 annual meeting of shareholders and until their successors are duly elected and qualified;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PricewaterhouseCoopers LLP as the Companys independent registered public accounting firm for the fiscal year ending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Kestra Medical Technologies, Ltd. 2025 Employee Stock Purchase Plan;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business as may properly come before the Annual Meeting or any adjournment or postponement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does the Board recommend I vote on these matters? </w:t>
      </w:r>
    </w:p>
    <w:p>
      <w:pPr>
        <w:pStyle w:val="TextBody"/>
        <w:bidi w:val="0"/>
        <w:spacing w:before="120" w:after="0"/>
        <w:jc w:val="left"/>
        <w:rPr>
          <w:rFonts w:ascii="Times New Roman" w:hAnsi="Times New Roman"/>
          <w:sz w:val="20"/>
        </w:rPr>
      </w:pPr>
      <w:r>
        <w:rPr>
          <w:rFonts w:ascii="Times New Roman" w:hAnsi="Times New Roman"/>
          <w:sz w:val="20"/>
        </w:rPr>
        <w:t xml:space="preserve">The Board recommends you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election of Conor Hanley and Elizabeth Kwo as Class I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ratification of the appointment of PricewaterhouseCoopers as the Companys independent registered accounting firm for the fiscal year ending April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approval of the Kestra Medical Technologies, Ltd. 2025 Employee Stock Purchase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is the vote required for each matter?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the vote required for each proposal to be passed. A majority of votes cast means that the number of shares voted FOR a proposal must exceed the number of shares voted AGAINST that proposal, without regard to abstentions and broker non-votes.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6"/>
        <w:gridCol w:w="203"/>
        <w:gridCol w:w="2232"/>
        <w:gridCol w:w="203"/>
        <w:gridCol w:w="2119"/>
        <w:gridCol w:w="287"/>
        <w:gridCol w:w="903"/>
        <w:gridCol w:w="120"/>
        <w:gridCol w:w="1602"/>
      </w:tblGrid>
      <w:tr>
        <w:trPr/>
        <w:tc>
          <w:tcPr>
            <w:tcW w:w="25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bottom"/>
          </w:tcPr>
          <w:p>
            <w:pPr>
              <w:pStyle w:val="TableContents"/>
              <w:bidi w:val="0"/>
              <w:spacing w:before="0" w:after="283"/>
              <w:jc w:val="left"/>
              <w:rPr>
                <w:b/>
              </w:rPr>
            </w:pPr>
            <w:r>
              <w:rPr>
                <w:b/>
              </w:rPr>
              <w:t>Voting Item</w:t>
            </w:r>
          </w:p>
        </w:tc>
        <w:tc>
          <w:tcPr>
            <w:tcW w:w="203" w:type="dxa"/>
            <w:tcBorders/>
            <w:vAlign w:val="bottom"/>
          </w:tcPr>
          <w:p>
            <w:pPr>
              <w:pStyle w:val="TableContents"/>
              <w:bidi w:val="0"/>
              <w:spacing w:before="0" w:after="283"/>
              <w:jc w:val="left"/>
              <w:rPr/>
            </w:pPr>
            <w:r>
              <w:rPr/>
              <w:t>  </w:t>
            </w:r>
          </w:p>
        </w:tc>
        <w:tc>
          <w:tcPr>
            <w:tcW w:w="2232"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Board</w:t>
            </w:r>
          </w:p>
          <w:p>
            <w:pPr>
              <w:pStyle w:val="TableContents"/>
              <w:bidi w:val="0"/>
              <w:spacing w:before="0" w:after="20"/>
              <w:jc w:val="left"/>
              <w:rPr>
                <w:rFonts w:ascii="Times New Roman" w:hAnsi="Times New Roman"/>
                <w:b/>
                <w:sz w:val="16"/>
              </w:rPr>
            </w:pPr>
            <w:r>
              <w:rPr>
                <w:rFonts w:ascii="Times New Roman" w:hAnsi="Times New Roman"/>
                <w:b/>
                <w:sz w:val="16"/>
              </w:rPr>
              <w:t>Recommendation</w:t>
            </w:r>
          </w:p>
        </w:tc>
        <w:tc>
          <w:tcPr>
            <w:tcW w:w="203" w:type="dxa"/>
            <w:tcBorders/>
            <w:vAlign w:val="bottom"/>
          </w:tcPr>
          <w:p>
            <w:pPr>
              <w:pStyle w:val="TableContents"/>
              <w:bidi w:val="0"/>
              <w:spacing w:before="0" w:after="283"/>
              <w:jc w:val="left"/>
              <w:rPr/>
            </w:pPr>
            <w:r>
              <w:rPr/>
              <w:t>  </w:t>
            </w:r>
          </w:p>
        </w:tc>
        <w:tc>
          <w:tcPr>
            <w:tcW w:w="2119" w:type="dxa"/>
            <w:tcBorders/>
            <w:vAlign w:val="bottom"/>
          </w:tcPr>
          <w:p>
            <w:pPr>
              <w:pStyle w:val="TableContents"/>
              <w:bidi w:val="0"/>
              <w:spacing w:before="0" w:after="283"/>
              <w:jc w:val="left"/>
              <w:rPr>
                <w:b/>
              </w:rPr>
            </w:pPr>
            <w:r>
              <w:rPr>
                <w:b/>
              </w:rPr>
              <w:t>Vote required</w:t>
            </w:r>
          </w:p>
        </w:tc>
        <w:tc>
          <w:tcPr>
            <w:tcW w:w="28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Effect of</w:t>
            </w:r>
          </w:p>
          <w:p>
            <w:pPr>
              <w:pStyle w:val="TableContents"/>
              <w:bidi w:val="0"/>
              <w:spacing w:before="0" w:after="20"/>
              <w:jc w:val="left"/>
              <w:rPr>
                <w:rFonts w:ascii="Times New Roman" w:hAnsi="Times New Roman"/>
                <w:b/>
                <w:sz w:val="16"/>
              </w:rPr>
            </w:pPr>
            <w:r>
              <w:rPr>
                <w:rFonts w:ascii="Times New Roman" w:hAnsi="Times New Roman"/>
                <w:b/>
                <w:sz w:val="16"/>
              </w:rPr>
              <w:t>abstention</w:t>
            </w:r>
          </w:p>
        </w:tc>
        <w:tc>
          <w:tcPr>
            <w:tcW w:w="120"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Effect of broker</w:t>
            </w:r>
          </w:p>
          <w:p>
            <w:pPr>
              <w:pStyle w:val="TableContents"/>
              <w:bidi w:val="0"/>
              <w:spacing w:before="0" w:after="20"/>
              <w:jc w:val="left"/>
              <w:rPr>
                <w:rFonts w:ascii="Times New Roman" w:hAnsi="Times New Roman"/>
                <w:b/>
                <w:sz w:val="16"/>
              </w:rPr>
            </w:pPr>
            <w:r>
              <w:rPr>
                <w:rFonts w:ascii="Times New Roman" w:hAnsi="Times New Roman"/>
                <w:b/>
                <w:sz w:val="16"/>
              </w:rPr>
              <w:t>non-votes</w:t>
            </w:r>
          </w:p>
        </w:tc>
      </w:tr>
      <w:tr>
        <w:trPr/>
        <w:tc>
          <w:tcPr>
            <w:tcW w:w="2536" w:type="dxa"/>
            <w:tcBorders/>
          </w:tcPr>
          <w:p>
            <w:pPr>
              <w:pStyle w:val="TableContents"/>
              <w:bidi w:val="0"/>
              <w:spacing w:before="0" w:after="0"/>
              <w:jc w:val="left"/>
              <w:rPr>
                <w:rFonts w:ascii="Times New Roman" w:hAnsi="Times New Roman"/>
                <w:sz w:val="20"/>
              </w:rPr>
            </w:pPr>
            <w:r>
              <w:rPr>
                <w:rFonts w:ascii="Times New Roman" w:hAnsi="Times New Roman"/>
                <w:sz w:val="20"/>
              </w:rPr>
              <w:t>1. Election of director nominees</w:t>
            </w:r>
          </w:p>
        </w:tc>
        <w:tc>
          <w:tcPr>
            <w:tcW w:w="203" w:type="dxa"/>
            <w:tcBorders/>
            <w:vAlign w:val="bottom"/>
          </w:tcPr>
          <w:p>
            <w:pPr>
              <w:pStyle w:val="TableContents"/>
              <w:bidi w:val="0"/>
              <w:spacing w:before="0" w:after="283"/>
              <w:jc w:val="left"/>
              <w:rPr/>
            </w:pPr>
            <w:r>
              <w:rPr/>
              <w:t>  </w:t>
            </w:r>
          </w:p>
        </w:tc>
        <w:tc>
          <w:tcPr>
            <w:tcW w:w="2232" w:type="dxa"/>
            <w:tcBorders/>
          </w:tcPr>
          <w:p>
            <w:pPr>
              <w:pStyle w:val="TableContents"/>
              <w:bidi w:val="0"/>
              <w:spacing w:before="0" w:after="283"/>
              <w:jc w:val="left"/>
              <w:rPr/>
            </w:pPr>
            <w:r>
              <w:rPr/>
              <w:t>FOR each nominee</w:t>
            </w:r>
          </w:p>
        </w:tc>
        <w:tc>
          <w:tcPr>
            <w:tcW w:w="203" w:type="dxa"/>
            <w:tcBorders/>
            <w:vAlign w:val="bottom"/>
          </w:tcPr>
          <w:p>
            <w:pPr>
              <w:pStyle w:val="TableContents"/>
              <w:bidi w:val="0"/>
              <w:spacing w:before="0" w:after="283"/>
              <w:jc w:val="left"/>
              <w:rPr/>
            </w:pPr>
            <w:r>
              <w:rPr/>
              <w:t>  </w:t>
            </w:r>
          </w:p>
        </w:tc>
        <w:tc>
          <w:tcPr>
            <w:tcW w:w="2119" w:type="dxa"/>
            <w:tcBorders/>
          </w:tcPr>
          <w:p>
            <w:pPr>
              <w:pStyle w:val="TableContents"/>
              <w:bidi w:val="0"/>
              <w:spacing w:before="0" w:after="283"/>
              <w:jc w:val="left"/>
              <w:rPr/>
            </w:pPr>
            <w:r>
              <w:rPr/>
              <w:t>Majority of votes cast</w:t>
            </w:r>
          </w:p>
        </w:tc>
        <w:tc>
          <w:tcPr>
            <w:tcW w:w="287" w:type="dxa"/>
            <w:tcBorders/>
            <w:vAlign w:val="bottom"/>
          </w:tcPr>
          <w:p>
            <w:pPr>
              <w:pStyle w:val="TableContents"/>
              <w:bidi w:val="0"/>
              <w:spacing w:before="0" w:after="283"/>
              <w:jc w:val="left"/>
              <w:rPr/>
            </w:pPr>
            <w:r>
              <w:rPr/>
              <w:t>  </w:t>
            </w:r>
          </w:p>
        </w:tc>
        <w:tc>
          <w:tcPr>
            <w:tcW w:w="903" w:type="dxa"/>
            <w:tcBorders/>
          </w:tcPr>
          <w:p>
            <w:pPr>
              <w:pStyle w:val="TableContents"/>
              <w:bidi w:val="0"/>
              <w:spacing w:before="0" w:after="283"/>
              <w:jc w:val="left"/>
              <w:rPr/>
            </w:pPr>
            <w:r>
              <w:rPr/>
              <w:t>None</w:t>
            </w:r>
          </w:p>
        </w:tc>
        <w:tc>
          <w:tcPr>
            <w:tcW w:w="120" w:type="dxa"/>
            <w:tcBorders/>
            <w:vAlign w:val="bottom"/>
          </w:tcPr>
          <w:p>
            <w:pPr>
              <w:pStyle w:val="TableContents"/>
              <w:bidi w:val="0"/>
              <w:spacing w:before="0" w:after="283"/>
              <w:jc w:val="left"/>
              <w:rPr/>
            </w:pPr>
            <w:r>
              <w:rPr/>
              <w:t>  </w:t>
            </w:r>
          </w:p>
        </w:tc>
        <w:tc>
          <w:tcPr>
            <w:tcW w:w="1602" w:type="dxa"/>
            <w:tcBorders/>
          </w:tcPr>
          <w:p>
            <w:pPr>
              <w:pStyle w:val="TableContents"/>
              <w:bidi w:val="0"/>
              <w:spacing w:before="0" w:after="283"/>
              <w:jc w:val="left"/>
              <w:rPr/>
            </w:pPr>
            <w:r>
              <w:rPr/>
              <w:t>None</w:t>
            </w:r>
          </w:p>
        </w:tc>
      </w:tr>
      <w:tr>
        <w:trPr>
          <w:trHeight w:val="120" w:hRule="atLeast"/>
        </w:trPr>
        <w:tc>
          <w:tcPr>
            <w:tcW w:w="2536" w:type="dxa"/>
            <w:tcBorders/>
            <w:vAlign w:val="center"/>
          </w:tcPr>
          <w:p>
            <w:pPr>
              <w:pStyle w:val="TableContents"/>
              <w:bidi w:val="0"/>
              <w:spacing w:before="0" w:after="283"/>
              <w:jc w:val="left"/>
              <w:rPr>
                <w:sz w:val="4"/>
                <w:szCs w:val="4"/>
              </w:rPr>
            </w:pPr>
            <w:r>
              <w:rPr>
                <w:sz w:val="4"/>
                <w:szCs w:val="4"/>
              </w:rPr>
            </w:r>
          </w:p>
        </w:tc>
        <w:tc>
          <w:tcPr>
            <w:tcW w:w="2435" w:type="dxa"/>
            <w:gridSpan w:val="2"/>
            <w:tcBorders/>
            <w:vAlign w:val="center"/>
          </w:tcPr>
          <w:p>
            <w:pPr>
              <w:pStyle w:val="TableContents"/>
              <w:bidi w:val="0"/>
              <w:spacing w:before="0" w:after="283"/>
              <w:jc w:val="left"/>
              <w:rPr>
                <w:sz w:val="4"/>
                <w:szCs w:val="4"/>
              </w:rPr>
            </w:pPr>
            <w:r>
              <w:rPr>
                <w:sz w:val="4"/>
                <w:szCs w:val="4"/>
              </w:rPr>
            </w:r>
          </w:p>
        </w:tc>
        <w:tc>
          <w:tcPr>
            <w:tcW w:w="2322"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722" w:type="dxa"/>
            <w:gridSpan w:val="2"/>
            <w:tcBorders/>
            <w:vAlign w:val="center"/>
          </w:tcPr>
          <w:p>
            <w:pPr>
              <w:pStyle w:val="TableContents"/>
              <w:bidi w:val="0"/>
              <w:spacing w:before="0" w:after="283"/>
              <w:jc w:val="left"/>
              <w:rPr>
                <w:sz w:val="4"/>
                <w:szCs w:val="4"/>
              </w:rPr>
            </w:pPr>
            <w:r>
              <w:rPr>
                <w:sz w:val="4"/>
                <w:szCs w:val="4"/>
              </w:rPr>
            </w:r>
          </w:p>
        </w:tc>
      </w:tr>
      <w:tr>
        <w:trPr/>
        <w:tc>
          <w:tcPr>
            <w:tcW w:w="2536" w:type="dxa"/>
            <w:tcBorders/>
          </w:tcPr>
          <w:p>
            <w:pPr>
              <w:pStyle w:val="TableContents"/>
              <w:bidi w:val="0"/>
              <w:spacing w:before="0" w:after="0"/>
              <w:jc w:val="left"/>
              <w:rPr>
                <w:rFonts w:ascii="Times New Roman" w:hAnsi="Times New Roman"/>
                <w:sz w:val="20"/>
              </w:rPr>
            </w:pPr>
            <w:r>
              <w:rPr>
                <w:rFonts w:ascii="Times New Roman" w:hAnsi="Times New Roman"/>
                <w:sz w:val="20"/>
              </w:rPr>
              <w:t>2. Ratification of the appointment of independent registered accounting firm</w:t>
            </w:r>
          </w:p>
        </w:tc>
        <w:tc>
          <w:tcPr>
            <w:tcW w:w="203" w:type="dxa"/>
            <w:tcBorders/>
            <w:vAlign w:val="bottom"/>
          </w:tcPr>
          <w:p>
            <w:pPr>
              <w:pStyle w:val="TableContents"/>
              <w:bidi w:val="0"/>
              <w:spacing w:before="0" w:after="283"/>
              <w:jc w:val="left"/>
              <w:rPr/>
            </w:pPr>
            <w:r>
              <w:rPr/>
              <w:t>  </w:t>
            </w:r>
          </w:p>
        </w:tc>
        <w:tc>
          <w:tcPr>
            <w:tcW w:w="2232" w:type="dxa"/>
            <w:tcBorders/>
          </w:tcPr>
          <w:p>
            <w:pPr>
              <w:pStyle w:val="TableContents"/>
              <w:bidi w:val="0"/>
              <w:spacing w:before="0" w:after="283"/>
              <w:jc w:val="left"/>
              <w:rPr/>
            </w:pPr>
            <w:r>
              <w:rPr/>
              <w:t>FOR</w:t>
            </w:r>
          </w:p>
        </w:tc>
        <w:tc>
          <w:tcPr>
            <w:tcW w:w="203" w:type="dxa"/>
            <w:tcBorders/>
            <w:vAlign w:val="bottom"/>
          </w:tcPr>
          <w:p>
            <w:pPr>
              <w:pStyle w:val="TableContents"/>
              <w:bidi w:val="0"/>
              <w:spacing w:before="0" w:after="283"/>
              <w:jc w:val="left"/>
              <w:rPr/>
            </w:pPr>
            <w:r>
              <w:rPr/>
              <w:t>  </w:t>
            </w:r>
          </w:p>
        </w:tc>
        <w:tc>
          <w:tcPr>
            <w:tcW w:w="2119" w:type="dxa"/>
            <w:tcBorders/>
          </w:tcPr>
          <w:p>
            <w:pPr>
              <w:pStyle w:val="TableContents"/>
              <w:bidi w:val="0"/>
              <w:spacing w:before="0" w:after="283"/>
              <w:jc w:val="left"/>
              <w:rPr/>
            </w:pPr>
            <w:r>
              <w:rPr/>
              <w:t>Majority of votes cast</w:t>
            </w:r>
          </w:p>
        </w:tc>
        <w:tc>
          <w:tcPr>
            <w:tcW w:w="287" w:type="dxa"/>
            <w:tcBorders/>
            <w:vAlign w:val="bottom"/>
          </w:tcPr>
          <w:p>
            <w:pPr>
              <w:pStyle w:val="TableContents"/>
              <w:bidi w:val="0"/>
              <w:spacing w:before="0" w:after="283"/>
              <w:jc w:val="left"/>
              <w:rPr/>
            </w:pPr>
            <w:r>
              <w:rPr/>
              <w:t>  </w:t>
            </w:r>
          </w:p>
        </w:tc>
        <w:tc>
          <w:tcPr>
            <w:tcW w:w="903" w:type="dxa"/>
            <w:tcBorders/>
          </w:tcPr>
          <w:p>
            <w:pPr>
              <w:pStyle w:val="TableContents"/>
              <w:bidi w:val="0"/>
              <w:spacing w:before="0" w:after="283"/>
              <w:jc w:val="left"/>
              <w:rPr/>
            </w:pPr>
            <w:r>
              <w:rPr/>
              <w:t>None</w:t>
            </w:r>
          </w:p>
        </w:tc>
        <w:tc>
          <w:tcPr>
            <w:tcW w:w="120" w:type="dxa"/>
            <w:tcBorders/>
            <w:vAlign w:val="bottom"/>
          </w:tcPr>
          <w:p>
            <w:pPr>
              <w:pStyle w:val="TableContents"/>
              <w:bidi w:val="0"/>
              <w:spacing w:before="0" w:after="283"/>
              <w:jc w:val="left"/>
              <w:rPr/>
            </w:pPr>
            <w:r>
              <w:rPr/>
              <w:t>  </w:t>
            </w:r>
          </w:p>
        </w:tc>
        <w:tc>
          <w:tcPr>
            <w:tcW w:w="1602" w:type="dxa"/>
            <w:tcBorders/>
          </w:tcPr>
          <w:p>
            <w:pPr>
              <w:pStyle w:val="TableContents"/>
              <w:bidi w:val="0"/>
              <w:spacing w:before="0" w:after="283"/>
              <w:jc w:val="left"/>
              <w:rPr/>
            </w:pPr>
            <w:r>
              <w:rPr/>
              <w:t>Not applicable*</w:t>
            </w:r>
          </w:p>
        </w:tc>
      </w:tr>
      <w:tr>
        <w:trPr>
          <w:trHeight w:val="120" w:hRule="atLeast"/>
        </w:trPr>
        <w:tc>
          <w:tcPr>
            <w:tcW w:w="2536" w:type="dxa"/>
            <w:tcBorders/>
            <w:vAlign w:val="center"/>
          </w:tcPr>
          <w:p>
            <w:pPr>
              <w:pStyle w:val="TableContents"/>
              <w:bidi w:val="0"/>
              <w:spacing w:before="0" w:after="283"/>
              <w:jc w:val="left"/>
              <w:rPr>
                <w:sz w:val="4"/>
                <w:szCs w:val="4"/>
              </w:rPr>
            </w:pPr>
            <w:r>
              <w:rPr>
                <w:sz w:val="4"/>
                <w:szCs w:val="4"/>
              </w:rPr>
            </w:r>
          </w:p>
        </w:tc>
        <w:tc>
          <w:tcPr>
            <w:tcW w:w="2435" w:type="dxa"/>
            <w:gridSpan w:val="2"/>
            <w:tcBorders/>
            <w:vAlign w:val="center"/>
          </w:tcPr>
          <w:p>
            <w:pPr>
              <w:pStyle w:val="TableContents"/>
              <w:bidi w:val="0"/>
              <w:spacing w:before="0" w:after="283"/>
              <w:jc w:val="left"/>
              <w:rPr>
                <w:sz w:val="4"/>
                <w:szCs w:val="4"/>
              </w:rPr>
            </w:pPr>
            <w:r>
              <w:rPr>
                <w:sz w:val="4"/>
                <w:szCs w:val="4"/>
              </w:rPr>
            </w:r>
          </w:p>
        </w:tc>
        <w:tc>
          <w:tcPr>
            <w:tcW w:w="2322"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722" w:type="dxa"/>
            <w:gridSpan w:val="2"/>
            <w:tcBorders/>
            <w:vAlign w:val="center"/>
          </w:tcPr>
          <w:p>
            <w:pPr>
              <w:pStyle w:val="TableContents"/>
              <w:bidi w:val="0"/>
              <w:spacing w:before="0" w:after="283"/>
              <w:jc w:val="left"/>
              <w:rPr>
                <w:sz w:val="4"/>
                <w:szCs w:val="4"/>
              </w:rPr>
            </w:pPr>
            <w:r>
              <w:rPr>
                <w:sz w:val="4"/>
                <w:szCs w:val="4"/>
              </w:rPr>
            </w:r>
          </w:p>
        </w:tc>
      </w:tr>
      <w:tr>
        <w:trPr/>
        <w:tc>
          <w:tcPr>
            <w:tcW w:w="2536" w:type="dxa"/>
            <w:tcBorders/>
          </w:tcPr>
          <w:p>
            <w:pPr>
              <w:pStyle w:val="TableContents"/>
              <w:bidi w:val="0"/>
              <w:spacing w:before="0" w:after="0"/>
              <w:jc w:val="left"/>
              <w:rPr>
                <w:rFonts w:ascii="Times New Roman" w:hAnsi="Times New Roman"/>
                <w:sz w:val="20"/>
              </w:rPr>
            </w:pPr>
            <w:r>
              <w:rPr>
                <w:rFonts w:ascii="Times New Roman" w:hAnsi="Times New Roman"/>
                <w:sz w:val="20"/>
              </w:rPr>
              <w:t>3. Approval of Kestra Medical Technologies, Ltd. 2025 Employee Stock Purchase Plan</w:t>
            </w:r>
          </w:p>
        </w:tc>
        <w:tc>
          <w:tcPr>
            <w:tcW w:w="203" w:type="dxa"/>
            <w:tcBorders/>
            <w:vAlign w:val="bottom"/>
          </w:tcPr>
          <w:p>
            <w:pPr>
              <w:pStyle w:val="TableContents"/>
              <w:bidi w:val="0"/>
              <w:spacing w:before="0" w:after="283"/>
              <w:jc w:val="left"/>
              <w:rPr/>
            </w:pPr>
            <w:r>
              <w:rPr/>
              <w:t>  </w:t>
            </w:r>
          </w:p>
        </w:tc>
        <w:tc>
          <w:tcPr>
            <w:tcW w:w="2232" w:type="dxa"/>
            <w:tcBorders/>
          </w:tcPr>
          <w:p>
            <w:pPr>
              <w:pStyle w:val="TableContents"/>
              <w:bidi w:val="0"/>
              <w:spacing w:before="0" w:after="283"/>
              <w:jc w:val="left"/>
              <w:rPr/>
            </w:pPr>
            <w:r>
              <w:rPr/>
              <w:t>FOR</w:t>
            </w:r>
          </w:p>
        </w:tc>
        <w:tc>
          <w:tcPr>
            <w:tcW w:w="203" w:type="dxa"/>
            <w:tcBorders/>
            <w:vAlign w:val="bottom"/>
          </w:tcPr>
          <w:p>
            <w:pPr>
              <w:pStyle w:val="TableContents"/>
              <w:bidi w:val="0"/>
              <w:spacing w:before="0" w:after="283"/>
              <w:jc w:val="left"/>
              <w:rPr/>
            </w:pPr>
            <w:r>
              <w:rPr/>
              <w:t>  </w:t>
            </w:r>
          </w:p>
        </w:tc>
        <w:tc>
          <w:tcPr>
            <w:tcW w:w="2119" w:type="dxa"/>
            <w:tcBorders/>
          </w:tcPr>
          <w:p>
            <w:pPr>
              <w:pStyle w:val="TableContents"/>
              <w:bidi w:val="0"/>
              <w:spacing w:before="0" w:after="283"/>
              <w:jc w:val="left"/>
              <w:rPr/>
            </w:pPr>
            <w:r>
              <w:rPr/>
              <w:t>Majority of votes cast</w:t>
            </w:r>
          </w:p>
        </w:tc>
        <w:tc>
          <w:tcPr>
            <w:tcW w:w="287" w:type="dxa"/>
            <w:tcBorders/>
            <w:vAlign w:val="bottom"/>
          </w:tcPr>
          <w:p>
            <w:pPr>
              <w:pStyle w:val="TableContents"/>
              <w:bidi w:val="0"/>
              <w:spacing w:before="0" w:after="283"/>
              <w:jc w:val="left"/>
              <w:rPr/>
            </w:pPr>
            <w:r>
              <w:rPr/>
              <w:t>  </w:t>
            </w:r>
          </w:p>
        </w:tc>
        <w:tc>
          <w:tcPr>
            <w:tcW w:w="903" w:type="dxa"/>
            <w:tcBorders/>
          </w:tcPr>
          <w:p>
            <w:pPr>
              <w:pStyle w:val="TableContents"/>
              <w:bidi w:val="0"/>
              <w:spacing w:before="0" w:after="283"/>
              <w:jc w:val="left"/>
              <w:rPr/>
            </w:pPr>
            <w:r>
              <w:rPr/>
              <w:t>None</w:t>
            </w:r>
          </w:p>
        </w:tc>
        <w:tc>
          <w:tcPr>
            <w:tcW w:w="120" w:type="dxa"/>
            <w:tcBorders/>
            <w:vAlign w:val="bottom"/>
          </w:tcPr>
          <w:p>
            <w:pPr>
              <w:pStyle w:val="TableContents"/>
              <w:bidi w:val="0"/>
              <w:spacing w:before="0" w:after="283"/>
              <w:jc w:val="left"/>
              <w:rPr/>
            </w:pPr>
            <w:r>
              <w:rPr/>
              <w:t>  </w:t>
            </w:r>
          </w:p>
        </w:tc>
        <w:tc>
          <w:tcPr>
            <w:tcW w:w="1602" w:type="dxa"/>
            <w:tcBorders/>
          </w:tcPr>
          <w:p>
            <w:pPr>
              <w:pStyle w:val="TableContents"/>
              <w:bidi w:val="0"/>
              <w:spacing w:before="0" w:after="283"/>
              <w:jc w:val="left"/>
              <w:rPr/>
            </w:pPr>
            <w:r>
              <w:rPr/>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Nasdaq rules, Proposal 2 is the only matter considered routine and on which your broker can vote your shares without receiving instructions from you. Therefore, no broker non-votes are expected in connection with this proposal.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of Record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at the Annual Meeting online by logging in at www.virtualshareholdermeeting.com/KMTS2025 and entering the 16-digit control number listed on your proxy card. Alternatively, you may vote by proxy before the Annual Meeting in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via the internet at www.proxyvote.com;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by calling 1-800-690-6903;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signing and returning the proxy card to Vote Processing, c/o Broadridge, 51 Mercedes Way, Edgewood, NY 11717.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attend the Annual Meeting online, we encourage you to vote by proxy to ensure your vote is counted. Even if you have submitted a proxy before the Annual Meeting, you may still attend the Annual Meeting online and vote online. In such case, your previously submitted proxy will be disregarded.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Beneficial Owner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you should have received a voting instruction card and voting instructions with these proxy materials from your broker. To ensure your vote is counted, you must complete and mail the voting instruction card as directed. To vote at the Annual Meeting online, you must obtain a valid proxy from your broker. Follow the instructions from your broker included with these proxy materials, or contact your broker to request a proxy form. </w:t>
      </w:r>
    </w:p>
    <w:p>
      <w:pPr>
        <w:pStyle w:val="TextBody"/>
        <w:bidi w:val="0"/>
        <w:spacing w:before="360" w:after="0"/>
        <w:jc w:val="left"/>
        <w:rPr>
          <w:rFonts w:ascii="Times New Roman" w:hAnsi="Times New Roman"/>
          <w:b/>
          <w:sz w:val="20"/>
        </w:rPr>
      </w:pPr>
      <w:r>
        <w:rPr>
          <w:rFonts w:ascii="Times New Roman" w:hAnsi="Times New Roman"/>
          <w:b/>
          <w:sz w:val="20"/>
        </w:rPr>
        <w:t xml:space="preserve">Who counts the votes? </w:t>
      </w:r>
    </w:p>
    <w:p>
      <w:pPr>
        <w:pStyle w:val="TextBody"/>
        <w:bidi w:val="0"/>
        <w:spacing w:before="120" w:after="0"/>
        <w:jc w:val="left"/>
        <w:rPr>
          <w:rFonts w:ascii="Times New Roman" w:hAnsi="Times New Roman"/>
          <w:sz w:val="20"/>
        </w:rPr>
      </w:pPr>
      <w:r>
        <w:rPr>
          <w:rFonts w:ascii="Times New Roman" w:hAnsi="Times New Roman"/>
          <w:sz w:val="20"/>
        </w:rPr>
        <w:t xml:space="preserve">A delegate of Broadridge Financial Services, Inc. will serve as the inspector of election (the Inspector of Election) and will separately tabulate affirmative and negative votes, abstentions and broker non-votes.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Broker non-votes occur when a beneficial owner of shares held in street name does not give instructions to the broker of the shares as to how to vote on matters deemed non-routine.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or other shareholder of record indicates on a proxy that it does not have discretionary authority to vote certain shares on a particular proposal, then those shares will be treated as broker non-votes with respect to that proposal. Accordingly, if you own shares in street name, please be sure to instruct your broker how to vote to ensure that your vote is counted on each of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Which proposals are considered routine or non-routine? </w:t>
      </w:r>
    </w:p>
    <w:p>
      <w:pPr>
        <w:pStyle w:val="TextBody"/>
        <w:bidi w:val="0"/>
        <w:spacing w:before="120" w:after="0"/>
        <w:jc w:val="left"/>
        <w:rPr>
          <w:rFonts w:ascii="Times New Roman" w:hAnsi="Times New Roman"/>
          <w:sz w:val="20"/>
        </w:rPr>
      </w:pPr>
      <w:r>
        <w:rPr>
          <w:rFonts w:ascii="Times New Roman" w:hAnsi="Times New Roman"/>
          <w:sz w:val="20"/>
        </w:rPr>
        <w:t xml:space="preserve">Proposal 2, the ratification of the appointment of PricewaterhouseCoopers LLP, as our independent registered public accounting firm for the fiscal year ending April 30, 2026, is considered routine under applicable rules. A broker may generally vote on routine matters, and therefore no broker non-votes are expected to exist in connection with Proposal 2. </w:t>
      </w:r>
    </w:p>
    <w:p>
      <w:pPr>
        <w:pStyle w:val="TextBody"/>
        <w:bidi w:val="0"/>
        <w:spacing w:before="240" w:after="0"/>
        <w:jc w:val="left"/>
        <w:rPr>
          <w:rFonts w:ascii="Times New Roman" w:hAnsi="Times New Roman"/>
          <w:sz w:val="20"/>
        </w:rPr>
      </w:pPr>
      <w:r>
        <w:rPr>
          <w:rFonts w:ascii="Times New Roman" w:hAnsi="Times New Roman"/>
          <w:sz w:val="20"/>
        </w:rPr>
        <w:t xml:space="preserve">Proposal 1, the election of directors, and Proposal 3, the approval of the Kestra Medical Technologies, Ltd. 2025 Employee Stock Purchase Plan, are considered non-routine under applicable rules. A broker cannot vote without instructions on non-routine matters, and therefore there may be broker non-votes on each of Proposal 1 and Proposal 3. If you hold your shares in street name and do not give voting instructions to your broker, your shares will not be voted for Proposal 1 or Proposal 3.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 xml:space="preserve">On each proposal, you have one vote for each common share you own as of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return a proxy card but do not make specific choices? </w:t>
      </w:r>
    </w:p>
    <w:p>
      <w:pPr>
        <w:pStyle w:val="TextBody"/>
        <w:bidi w:val="0"/>
        <w:spacing w:before="120" w:after="0"/>
        <w:jc w:val="left"/>
        <w:rPr>
          <w:rFonts w:ascii="Times New Roman" w:hAnsi="Times New Roman"/>
          <w:sz w:val="20"/>
        </w:rPr>
      </w:pPr>
      <w:r>
        <w:rPr>
          <w:rFonts w:ascii="Times New Roman" w:hAnsi="Times New Roman"/>
          <w:sz w:val="20"/>
        </w:rPr>
        <w:t xml:space="preserve">If we receive a signed and dated proxy card that does not specify how your shares are to be voted, your shares will be voted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election of two nominees for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ratification of the appointment of PricewaterhouseCoopers LLP, as our independent registered public accounting firm for the fiscal year ending April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approval of the Kestra Medical Technologies, Ltd. 2025 Employee Stock Purchase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other matter is properly presented at the Annual Meeting, your proxy (one of the individuals named on your proxy card) will vote your shares in his or her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What is a proxy? </w:t>
      </w:r>
    </w:p>
    <w:p>
      <w:pPr>
        <w:pStyle w:val="TextBody"/>
        <w:bidi w:val="0"/>
        <w:spacing w:before="120" w:after="0"/>
        <w:jc w:val="left"/>
        <w:rPr>
          <w:rFonts w:ascii="Times New Roman" w:hAnsi="Times New Roman"/>
          <w:sz w:val="20"/>
        </w:rPr>
      </w:pPr>
      <w:r>
        <w:rPr>
          <w:rFonts w:ascii="Times New Roman" w:hAnsi="Times New Roman"/>
          <w:sz w:val="20"/>
        </w:rPr>
        <w:t xml:space="preserve">By appointing a proxy, you authorize a specified person or persons (known as your proxy or proxies) to vote your shares on your behalf at the Annual Meeting in the way that you instruct on the proxy card. A proxy may exercise all of your rights to attend, speak and vote at the Annual Meeting. A proxy need not be a shareholder of the Company. By use of a proxy, you can have your shares voted, whether or not you attend the meeting. All shares represented by valid proxies received and not revoked before the Annual Meeting will be voted in accordance with the shareholders specific voting instructions. If we have received your executed proxy card and you have not given specific voting instructions, your shares will be voted as recommended by our Board and in the discretion of your proxy upon such other matters as may properly come before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Shareholders are strongly encouraged to appoint Brian Webster, our President and Chief Executive Officer, and Traci S. Umberger, our General Counsel and Chief Administrative Officer, as your proxy. If you execute and return your proxy card without appointing a different proxy, Mr. Webster and Ms. Umberger will be deemed to be your proxy. This ensures that your vote will be counted if you are not able to attend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appointment of a proxy must be received not later than September 2, 2025 at 11:59 Eastern Time, or such other deadline determined for any adjourned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obtain additional copies of the Annual Report or Notice of Annual Meeting and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If you would like a printed or email copy of Kestras Annual Report or Notice of Annual Meeting and Proxy Statement at no charge, please follow the instructions in the Notice of Internet Availability or contact the General Counsel by mail at 3933 Lake Washington Blvd NE, Suite 200, Kirkland, Washington 98033 or by email at corporatesecretary@kestramedical.com. We will promptly deliver to you the materials that you request. </w:t>
      </w:r>
    </w:p>
    <w:p>
      <w:pPr>
        <w:pStyle w:val="TextBody"/>
        <w:bidi w:val="0"/>
        <w:spacing w:before="240" w:after="0"/>
        <w:jc w:val="left"/>
        <w:rPr>
          <w:rFonts w:ascii="Times New Roman" w:hAnsi="Times New Roman"/>
          <w:sz w:val="20"/>
        </w:rPr>
      </w:pPr>
      <w:r>
        <w:rPr>
          <w:rFonts w:ascii="Times New Roman" w:hAnsi="Times New Roman"/>
          <w:sz w:val="20"/>
        </w:rPr>
        <w:t xml:space="preserve">In addition, shareholders may request to receive a free printed or email copy of the proxy materials from Broadridge by internet at proxyvote.com, by email to sendmaterial@proxyvote.com, or by telephone at +1-800-579-1639. Please have your Control Number available and, if you are sending an email, please include your Control Number in the subject line. All requests for additional materials in advance of the Annual Meeting should be made prior to August 20, 2025 to ensure timely delivery in advance of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set of materials?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set of materials, your shares are registered in more than one name or are registered in different accounts. In order to vote all the shares you own, you must either sign and return all of the proxy cards or follow the instructions for any alternative voting procedure on each of the proxy cards. </w:t>
      </w:r>
    </w:p>
    <w:p>
      <w:pPr>
        <w:pStyle w:val="TextBody"/>
        <w:bidi w:val="0"/>
        <w:spacing w:before="240" w:after="0"/>
        <w:jc w:val="left"/>
        <w:rPr>
          <w:rFonts w:ascii="Times New Roman" w:hAnsi="Times New Roman"/>
          <w:sz w:val="20"/>
        </w:rPr>
      </w:pPr>
      <w:r>
        <w:rPr>
          <w:rFonts w:ascii="Times New Roman" w:hAnsi="Times New Roman"/>
          <w:sz w:val="20"/>
        </w:rPr>
        <w:t xml:space="preserve">Only one mailing with a copy of the Notice of Annual Meeting (or a hardcopy of our Annual Report and Notice of Annual Meeting and Proxy Statement, if requested) is being delivered to multiple shareholders sharing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address unless the Company has received contrary instructions from one or more of those shareholders. See Additional InformationHouseholding of Proxy Materials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bidi w:val="0"/>
        <w:spacing w:before="120" w:after="0"/>
        <w:jc w:val="left"/>
        <w:rPr>
          <w:rFonts w:ascii="Times New Roman" w:hAnsi="Times New Roman"/>
          <w:sz w:val="20"/>
        </w:rPr>
      </w:pPr>
      <w:r>
        <w:rPr>
          <w:rFonts w:ascii="Times New Roman" w:hAnsi="Times New Roman"/>
          <w:sz w:val="20"/>
        </w:rPr>
        <w:t xml:space="preserve">Yes, you can revoke your proxy at any time before the final vote at the Annual Meeting. If you are a shareholder of record, you may revoke your proxy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with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sending a written notice that you are revoking your proxy to our General Counsel at 3933 Lake Washington Blvd NE, Suite 200, Kirkland, Washington 98033;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Annual Meeting online and voting during the Annual Meeting. Simply attending the Annual Meeting online will not, by itself, revoke your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your broker, you should follow the instructions provided by them.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attend the virtual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live webcast of the Annual Meeting will begin promptly at 11:30 a.m. Eastern Time on September 3, 2025. Online access to the live webcast will open approximately 15 minutes prior to the start of the Annual Meeting to allow time for our shareholders to log in and test their devices audio system. We encourage you to access the meeting in advance of the designated start time. </w:t>
      </w:r>
    </w:p>
    <w:p>
      <w:pPr>
        <w:pStyle w:val="TextBody"/>
        <w:bidi w:val="0"/>
        <w:spacing w:before="240" w:after="0"/>
        <w:jc w:val="left"/>
        <w:rPr>
          <w:rFonts w:ascii="Times New Roman" w:hAnsi="Times New Roman"/>
          <w:sz w:val="20"/>
        </w:rPr>
      </w:pPr>
      <w:r>
        <w:rPr>
          <w:rFonts w:ascii="Times New Roman" w:hAnsi="Times New Roman"/>
          <w:sz w:val="20"/>
        </w:rPr>
        <w:t xml:space="preserve">To attend the Annual Meeting, you will need to log in at www.virtualshareholdermeeting.com/KMTS2025 by using the 16-digit control number listed on your proxy card. </w:t>
      </w:r>
    </w:p>
    <w:p>
      <w:pPr>
        <w:pStyle w:val="TextBody"/>
        <w:bidi w:val="0"/>
        <w:spacing w:before="360" w:after="0"/>
        <w:jc w:val="left"/>
        <w:rPr>
          <w:rFonts w:ascii="Times New Roman" w:hAnsi="Times New Roman"/>
          <w:b/>
          <w:sz w:val="20"/>
        </w:rPr>
      </w:pPr>
      <w:r>
        <w:rPr>
          <w:rFonts w:ascii="Times New Roman" w:hAnsi="Times New Roman"/>
          <w:b/>
          <w:sz w:val="20"/>
        </w:rPr>
        <w:t xml:space="preserve">Is technical assistance provided before and during the virtual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Beginning 15 minutes prior to the start of and during the virtual Annual Meeting, we will have support team ready to assist shareholders with any technical difficulties they may have accessing or hearing the virtual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encounter any difficulties accessing the virtual meeting during the check-in or meeting time, please call the technical support number that will be posted on the virtual shareholder meeting log in page.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Voting results will be announced by the filing of a Current Report on Form 8-K within four business days after the Annual Meeting. If final voting results are unavailable at that time, we will file an amended Current Report on Form 8-K within four business days of the day the final results are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an emerging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that term is used in the Jumpstart Our Business Startups Act of 2012 and, as such, have elected to comply with certain reduced public company reporting requirements. These reduced reporting requirements include reduced disclosure about our executive compensation arrangements and no non-binding advisory votes on executive compensation. We will remain an emerging growth company until the earlier of: (a) the last day of the fiscal year following the fifth anniversary of the consummation of our initial public offering, (b) the last day of the fiscal year in which we have total annual gross revenue of at least $1.235 billion, (c) the last day of the fiscal year in which we are deemed to be a large accelerated filer, which means the market value of our common shares that is held by non-affiliates exceeds $700 million as of the last business day of the second fiscal quarter of such year, or (d) the date on which we have issued more than $1.0 billion in non-convertible debt during the prior three-year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78457_3"/>
      <w:bookmarkEnd w:id="5"/>
      <w:r>
        <w:rPr>
          <w:rFonts w:ascii="Times New Roman" w:hAnsi="Times New Roman"/>
          <w:b/>
          <w:sz w:val="20"/>
        </w:rPr>
        <w:t xml:space="preserve">PROPOSAL NO. 1 </w:t>
      </w:r>
    </w:p>
    <w:p>
      <w:pPr>
        <w:pStyle w:val="TextBody"/>
        <w:bidi w:val="0"/>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currently consists of ten members who are divided into three classes, designated as Class I, Class II, and Class III. Each class has a staggered, three-year term. Class I directors terms expire at the Annual Meeting, Class II directors terms expire at the 2026 annual meeting of shareholders, and Class III directors terms expire at the 2027 annual meeting of shareholders. At each annual meeting of shareholders until our 2031 annual meeting of shareholders (the 2031 Annual Meeting), directors whose terms are expiring will be succeeded by newly-elected directors, who will serve from the time of their election and qualification until the third subsequent annual meeting of shareholders. From and after the 2031 Annual Meeting, the Board will be declassified and our directors will be elected to hold office for a one-year term expiring at the next annual meeting of shareholders. Vacancies on the Board may be filled by persons elected by a majority of the remaining directors, and such persons shall serve for the remainder of the full term of the class of directors in which the vacancy occurred and until their successors are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our directors and director nominees as of July 7,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2"/>
        <w:gridCol w:w="160"/>
        <w:gridCol w:w="104"/>
        <w:gridCol w:w="446"/>
        <w:gridCol w:w="60"/>
        <w:gridCol w:w="160"/>
        <w:gridCol w:w="79"/>
        <w:gridCol w:w="346"/>
        <w:gridCol w:w="60"/>
        <w:gridCol w:w="160"/>
        <w:gridCol w:w="1836"/>
        <w:gridCol w:w="160"/>
        <w:gridCol w:w="107"/>
        <w:gridCol w:w="938"/>
        <w:gridCol w:w="60"/>
        <w:gridCol w:w="160"/>
        <w:gridCol w:w="145"/>
        <w:gridCol w:w="1276"/>
        <w:gridCol w:w="60"/>
        <w:gridCol w:w="160"/>
        <w:gridCol w:w="177"/>
        <w:gridCol w:w="1550"/>
        <w:gridCol w:w="69"/>
      </w:tblGrid>
      <w:tr>
        <w:trPr/>
        <w:tc>
          <w:tcPr>
            <w:tcW w:w="1932"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932" w:type="dxa"/>
            <w:tcBorders>
              <w:bottom w:val="single" w:sz="8" w:space="0" w:color="000000"/>
            </w:tcBorders>
            <w:tcMar>
              <w:bottom w:w="28" w:type="dxa"/>
            </w:tcMar>
          </w:tcPr>
          <w:p>
            <w:pPr>
              <w:pStyle w:val="TableContents"/>
              <w:bidi w:val="0"/>
              <w:spacing w:before="0" w:after="283"/>
              <w:jc w:val="center"/>
              <w:rPr/>
            </w:pPr>
            <w:r>
              <w:rPr/>
              <w:t>Name</w:t>
            </w:r>
          </w:p>
        </w:tc>
        <w:tc>
          <w:tcPr>
            <w:tcW w:w="160" w:type="dxa"/>
            <w:tcBorders>
              <w:bottom w:val="single" w:sz="8" w:space="0" w:color="000000"/>
            </w:tcBorders>
            <w:tcMar>
              <w:bottom w:w="28" w:type="dxa"/>
            </w:tcMar>
            <w:vAlign w:val="bottom"/>
          </w:tcPr>
          <w:p>
            <w:pPr>
              <w:pStyle w:val="TableContents"/>
              <w:bidi w:val="0"/>
              <w:spacing w:before="0" w:after="283"/>
              <w:jc w:val="left"/>
              <w:rPr/>
            </w:pPr>
            <w:r>
              <w:rPr/>
              <w:t> </w:t>
            </w:r>
          </w:p>
        </w:tc>
        <w:tc>
          <w:tcPr>
            <w:tcW w:w="550" w:type="dxa"/>
            <w:gridSpan w:val="2"/>
            <w:tcBorders>
              <w:bottom w:val="single" w:sz="8" w:space="0" w:color="000000"/>
            </w:tcBorders>
            <w:tcMar>
              <w:bottom w:w="28" w:type="dxa"/>
            </w:tcMar>
          </w:tcPr>
          <w:p>
            <w:pPr>
              <w:pStyle w:val="TableContents"/>
              <w:bidi w:val="0"/>
              <w:spacing w:before="0" w:after="283"/>
              <w:jc w:val="center"/>
              <w:rPr/>
            </w:pPr>
            <w:r>
              <w:rPr/>
              <w:t>Class</w:t>
            </w:r>
          </w:p>
        </w:tc>
        <w:tc>
          <w:tcPr>
            <w:tcW w:w="60" w:type="dxa"/>
            <w:tcBorders>
              <w:bottom w:val="single" w:sz="8" w:space="0" w:color="000000"/>
            </w:tcBorders>
            <w:tcMar>
              <w:bottom w:w="28" w:type="dxa"/>
            </w:tcMar>
            <w:vAlign w:val="bottom"/>
          </w:tcPr>
          <w:p>
            <w:pPr>
              <w:pStyle w:val="TableContents"/>
              <w:bidi w:val="0"/>
              <w:spacing w:before="0" w:after="283"/>
              <w:jc w:val="left"/>
              <w:rPr/>
            </w:pPr>
            <w:r>
              <w:rPr/>
              <w:t> </w:t>
            </w:r>
          </w:p>
        </w:tc>
        <w:tc>
          <w:tcPr>
            <w:tcW w:w="160" w:type="dxa"/>
            <w:tcBorders>
              <w:bottom w:val="single" w:sz="8" w:space="0" w:color="000000"/>
            </w:tcBorders>
            <w:tcMar>
              <w:bottom w:w="28" w:type="dxa"/>
            </w:tcMar>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tcPr>
          <w:p>
            <w:pPr>
              <w:pStyle w:val="TableContents"/>
              <w:bidi w:val="0"/>
              <w:spacing w:before="0" w:after="283"/>
              <w:jc w:val="center"/>
              <w:rPr/>
            </w:pPr>
            <w:r>
              <w:rPr/>
              <w:t>Age</w:t>
            </w:r>
          </w:p>
        </w:tc>
        <w:tc>
          <w:tcPr>
            <w:tcW w:w="60" w:type="dxa"/>
            <w:tcBorders>
              <w:bottom w:val="single" w:sz="8" w:space="0" w:color="000000"/>
            </w:tcBorders>
            <w:tcMar>
              <w:bottom w:w="28" w:type="dxa"/>
            </w:tcMar>
            <w:vAlign w:val="bottom"/>
          </w:tcPr>
          <w:p>
            <w:pPr>
              <w:pStyle w:val="TableContents"/>
              <w:bidi w:val="0"/>
              <w:spacing w:before="0" w:after="283"/>
              <w:jc w:val="left"/>
              <w:rPr/>
            </w:pPr>
            <w:r>
              <w:rPr/>
              <w:t> </w:t>
            </w:r>
          </w:p>
        </w:tc>
        <w:tc>
          <w:tcPr>
            <w:tcW w:w="160" w:type="dxa"/>
            <w:tcBorders>
              <w:bottom w:val="single" w:sz="8" w:space="0" w:color="000000"/>
            </w:tcBorders>
            <w:tcMar>
              <w:bottom w:w="28" w:type="dxa"/>
            </w:tcMar>
            <w:vAlign w:val="bottom"/>
          </w:tcPr>
          <w:p>
            <w:pPr>
              <w:pStyle w:val="TableContents"/>
              <w:bidi w:val="0"/>
              <w:spacing w:before="0" w:after="283"/>
              <w:jc w:val="left"/>
              <w:rPr/>
            </w:pPr>
            <w:r>
              <w:rPr/>
              <w:t> </w:t>
            </w:r>
          </w:p>
        </w:tc>
        <w:tc>
          <w:tcPr>
            <w:tcW w:w="1836" w:type="dxa"/>
            <w:tcBorders>
              <w:bottom w:val="single" w:sz="8" w:space="0" w:color="000000"/>
            </w:tcBorders>
            <w:tcMar>
              <w:bottom w:w="28" w:type="dxa"/>
            </w:tcMar>
          </w:tcPr>
          <w:p>
            <w:pPr>
              <w:pStyle w:val="TableContents"/>
              <w:bidi w:val="0"/>
              <w:spacing w:before="0" w:after="283"/>
              <w:jc w:val="center"/>
              <w:rPr/>
            </w:pPr>
            <w:r>
              <w:rPr/>
              <w:t>Position</w:t>
            </w:r>
          </w:p>
        </w:tc>
        <w:tc>
          <w:tcPr>
            <w:tcW w:w="160" w:type="dxa"/>
            <w:tcBorders>
              <w:bottom w:val="single" w:sz="8" w:space="0" w:color="000000"/>
            </w:tcBorders>
            <w:tcMar>
              <w:bottom w:w="28" w:type="dxa"/>
            </w:tcMar>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tcPr>
          <w:p>
            <w:pPr>
              <w:pStyle w:val="TableContents"/>
              <w:bidi w:val="0"/>
              <w:spacing w:before="0" w:after="0"/>
              <w:jc w:val="center"/>
              <w:rPr>
                <w:rFonts w:ascii="Times New Roman" w:hAnsi="Times New Roman"/>
                <w:sz w:val="16"/>
              </w:rPr>
            </w:pPr>
            <w:r>
              <w:rPr>
                <w:rFonts w:ascii="Times New Roman" w:hAnsi="Times New Roman"/>
                <w:sz w:val="16"/>
              </w:rPr>
              <w:t>Director Since</w:t>
            </w:r>
          </w:p>
          <w:p>
            <w:pPr>
              <w:pStyle w:val="TableContents"/>
              <w:bidi w:val="0"/>
              <w:spacing w:before="0" w:after="20"/>
              <w:jc w:val="center"/>
              <w:rPr>
                <w:rFonts w:ascii="Times New Roman" w:hAnsi="Times New Roman"/>
                <w:sz w:val="16"/>
              </w:rPr>
            </w:pPr>
            <w:r>
              <w:rPr>
                <w:rFonts w:ascii="Times New Roman" w:hAnsi="Times New Roman"/>
                <w:sz w:val="16"/>
              </w:rPr>
              <w:t>Fiscal Year</w:t>
            </w:r>
          </w:p>
        </w:tc>
        <w:tc>
          <w:tcPr>
            <w:tcW w:w="60" w:type="dxa"/>
            <w:tcBorders>
              <w:bottom w:val="single" w:sz="8" w:space="0" w:color="000000"/>
            </w:tcBorders>
            <w:tcMar>
              <w:bottom w:w="28" w:type="dxa"/>
            </w:tcMar>
            <w:vAlign w:val="bottom"/>
          </w:tcPr>
          <w:p>
            <w:pPr>
              <w:pStyle w:val="TableContents"/>
              <w:bidi w:val="0"/>
              <w:spacing w:before="0" w:after="283"/>
              <w:jc w:val="left"/>
              <w:rPr/>
            </w:pPr>
            <w:r>
              <w:rPr/>
              <w:t> </w:t>
            </w:r>
          </w:p>
        </w:tc>
        <w:tc>
          <w:tcPr>
            <w:tcW w:w="160" w:type="dxa"/>
            <w:tcBorders>
              <w:bottom w:val="single" w:sz="8" w:space="0" w:color="000000"/>
            </w:tcBorders>
            <w:tcMar>
              <w:bottom w:w="28" w:type="dxa"/>
            </w:tcMar>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tcPr>
          <w:p>
            <w:pPr>
              <w:pStyle w:val="TableContents"/>
              <w:bidi w:val="0"/>
              <w:spacing w:before="0" w:after="0"/>
              <w:jc w:val="center"/>
              <w:rPr>
                <w:rFonts w:ascii="Times New Roman" w:hAnsi="Times New Roman"/>
                <w:sz w:val="16"/>
              </w:rPr>
            </w:pPr>
            <w:r>
              <w:rPr>
                <w:rFonts w:ascii="Times New Roman" w:hAnsi="Times New Roman"/>
                <w:sz w:val="16"/>
              </w:rPr>
              <w:t>Current Term</w:t>
            </w:r>
          </w:p>
          <w:p>
            <w:pPr>
              <w:pStyle w:val="TableContents"/>
              <w:bidi w:val="0"/>
              <w:spacing w:before="0" w:after="20"/>
              <w:jc w:val="center"/>
              <w:rPr>
                <w:rFonts w:ascii="Times New Roman" w:hAnsi="Times New Roman"/>
                <w:sz w:val="16"/>
              </w:rPr>
            </w:pPr>
            <w:r>
              <w:rPr>
                <w:rFonts w:ascii="Times New Roman" w:hAnsi="Times New Roman"/>
                <w:sz w:val="16"/>
              </w:rPr>
              <w:t>Expires Fiscal Year</w:t>
            </w:r>
          </w:p>
        </w:tc>
        <w:tc>
          <w:tcPr>
            <w:tcW w:w="60" w:type="dxa"/>
            <w:tcBorders>
              <w:bottom w:val="single" w:sz="8" w:space="0" w:color="000000"/>
            </w:tcBorders>
            <w:tcMar>
              <w:bottom w:w="28" w:type="dxa"/>
            </w:tcMar>
            <w:vAlign w:val="bottom"/>
          </w:tcPr>
          <w:p>
            <w:pPr>
              <w:pStyle w:val="TableContents"/>
              <w:bidi w:val="0"/>
              <w:spacing w:before="0" w:after="283"/>
              <w:jc w:val="left"/>
              <w:rPr/>
            </w:pPr>
            <w:r>
              <w:rPr/>
              <w:t> </w:t>
            </w:r>
          </w:p>
        </w:tc>
        <w:tc>
          <w:tcPr>
            <w:tcW w:w="160" w:type="dxa"/>
            <w:tcBorders>
              <w:bottom w:val="single" w:sz="8" w:space="0" w:color="000000"/>
            </w:tcBorders>
            <w:tcMar>
              <w:bottom w:w="28" w:type="dxa"/>
            </w:tcMar>
            <w:vAlign w:val="bottom"/>
          </w:tcPr>
          <w:p>
            <w:pPr>
              <w:pStyle w:val="TableContents"/>
              <w:bidi w:val="0"/>
              <w:spacing w:before="0" w:after="283"/>
              <w:jc w:val="left"/>
              <w:rPr/>
            </w:pPr>
            <w:r>
              <w:rPr/>
              <w:t> </w:t>
            </w:r>
          </w:p>
        </w:tc>
        <w:tc>
          <w:tcPr>
            <w:tcW w:w="1727" w:type="dxa"/>
            <w:gridSpan w:val="2"/>
            <w:tcBorders>
              <w:bottom w:val="single" w:sz="8" w:space="0" w:color="000000"/>
            </w:tcBorders>
            <w:tcMar>
              <w:bottom w:w="28" w:type="dxa"/>
            </w:tcMar>
          </w:tcPr>
          <w:p>
            <w:pPr>
              <w:pStyle w:val="TableContents"/>
              <w:bidi w:val="0"/>
              <w:spacing w:before="0" w:after="0"/>
              <w:jc w:val="center"/>
              <w:rPr>
                <w:rFonts w:ascii="Times New Roman" w:hAnsi="Times New Roman"/>
                <w:sz w:val="16"/>
              </w:rPr>
            </w:pPr>
            <w:r>
              <w:rPr>
                <w:rFonts w:ascii="Times New Roman" w:hAnsi="Times New Roman"/>
                <w:sz w:val="16"/>
              </w:rPr>
              <w:t>Expiration of Term For</w:t>
              <w:br/>
              <w:t>Which</w:t>
            </w:r>
          </w:p>
          <w:p>
            <w:pPr>
              <w:pStyle w:val="TableContents"/>
              <w:bidi w:val="0"/>
              <w:spacing w:before="0" w:after="20"/>
              <w:jc w:val="center"/>
              <w:rPr>
                <w:rFonts w:ascii="Times New Roman" w:hAnsi="Times New Roman"/>
                <w:sz w:val="16"/>
              </w:rPr>
            </w:pPr>
            <w:r>
              <w:rPr>
                <w:rFonts w:ascii="Times New Roman" w:hAnsi="Times New Roman"/>
                <w:sz w:val="16"/>
              </w:rPr>
              <w:t>Nominated</w:t>
            </w:r>
          </w:p>
        </w:tc>
        <w:tc>
          <w:tcPr>
            <w:tcW w:w="69" w:type="dxa"/>
            <w:tcBorders>
              <w:bottom w:val="single" w:sz="8" w:space="0" w:color="000000"/>
            </w:tcBorders>
            <w:tcMar>
              <w:bottom w:w="28" w:type="dxa"/>
            </w:tcMar>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Toby AuWerter</w:t>
            </w:r>
          </w:p>
        </w:tc>
        <w:tc>
          <w:tcPr>
            <w:tcW w:w="160" w:type="dxa"/>
            <w:tcBorders/>
            <w:shd w:fill="CCEEFF" w:val="clear"/>
            <w:vAlign w:val="bottom"/>
          </w:tcPr>
          <w:p>
            <w:pPr>
              <w:pStyle w:val="TableContents"/>
              <w:bidi w:val="0"/>
              <w:spacing w:before="0" w:after="283"/>
              <w:jc w:val="left"/>
              <w:rPr/>
            </w:pPr>
            <w:r>
              <w:rPr/>
              <w:t> </w:t>
            </w:r>
          </w:p>
        </w:tc>
        <w:tc>
          <w:tcPr>
            <w:tcW w:w="104" w:type="dxa"/>
            <w:tcBorders/>
            <w:shd w:fill="CCEEFF" w:val="clear"/>
          </w:tcPr>
          <w:p>
            <w:pPr>
              <w:pStyle w:val="TableContents"/>
              <w:bidi w:val="0"/>
              <w:spacing w:before="0" w:after="283"/>
              <w:jc w:val="left"/>
              <w:rPr/>
            </w:pPr>
            <w:r>
              <w:rPr/>
              <w:t> </w:t>
            </w:r>
          </w:p>
        </w:tc>
        <w:tc>
          <w:tcPr>
            <w:tcW w:w="446" w:type="dxa"/>
            <w:tcBorders/>
            <w:shd w:fill="CCEEFF" w:val="clear"/>
          </w:tcPr>
          <w:p>
            <w:pPr>
              <w:pStyle w:val="TableContents"/>
              <w:bidi w:val="0"/>
              <w:spacing w:before="0" w:after="283"/>
              <w:jc w:val="right"/>
              <w:rPr/>
            </w:pPr>
            <w:r>
              <w:rPr/>
              <w:t>I</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38</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36" w:type="dxa"/>
            <w:tcBorders/>
            <w:shd w:fill="CCEEFF" w:val="clear"/>
          </w:tcPr>
          <w:p>
            <w:pPr>
              <w:pStyle w:val="TableContents"/>
              <w:bidi w:val="0"/>
              <w:spacing w:before="0" w:after="283"/>
              <w:jc w:val="center"/>
              <w:rPr/>
            </w:pPr>
            <w:r>
              <w:rPr/>
              <w:t>Director</w:t>
            </w:r>
          </w:p>
        </w:tc>
        <w:tc>
          <w:tcPr>
            <w:tcW w:w="160" w:type="dxa"/>
            <w:tcBorders/>
            <w:shd w:fill="CCEEFF" w:val="clear"/>
            <w:vAlign w:val="bottom"/>
          </w:tcPr>
          <w:p>
            <w:pPr>
              <w:pStyle w:val="TableContents"/>
              <w:bidi w:val="0"/>
              <w:spacing w:before="0" w:after="283"/>
              <w:jc w:val="left"/>
              <w:rPr/>
            </w:pPr>
            <w:r>
              <w:rPr/>
              <w:t> </w:t>
            </w:r>
          </w:p>
        </w:tc>
        <w:tc>
          <w:tcPr>
            <w:tcW w:w="107" w:type="dxa"/>
            <w:tcBorders/>
            <w:shd w:fill="CCEEFF" w:val="clear"/>
          </w:tcPr>
          <w:p>
            <w:pPr>
              <w:pStyle w:val="TableContents"/>
              <w:bidi w:val="0"/>
              <w:spacing w:before="0" w:after="283"/>
              <w:jc w:val="left"/>
              <w:rPr/>
            </w:pPr>
            <w:r>
              <w:rPr/>
              <w:t> </w:t>
            </w:r>
          </w:p>
        </w:tc>
        <w:tc>
          <w:tcPr>
            <w:tcW w:w="938" w:type="dxa"/>
            <w:tcBorders/>
            <w:shd w:fill="CCEEFF" w:val="clear"/>
          </w:tcPr>
          <w:p>
            <w:pPr>
              <w:pStyle w:val="TableContents"/>
              <w:bidi w:val="0"/>
              <w:spacing w:before="0" w:after="283"/>
              <w:jc w:val="right"/>
              <w:rPr/>
            </w:pPr>
            <w:r>
              <w:rPr/>
              <w:t>2022</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5" w:type="dxa"/>
            <w:tcBorders/>
            <w:shd w:fill="CCEEFF" w:val="clear"/>
          </w:tcPr>
          <w:p>
            <w:pPr>
              <w:pStyle w:val="TableContents"/>
              <w:bidi w:val="0"/>
              <w:spacing w:before="0" w:after="283"/>
              <w:jc w:val="left"/>
              <w:rPr/>
            </w:pPr>
            <w:r>
              <w:rPr/>
              <w:t> </w:t>
            </w:r>
          </w:p>
        </w:tc>
        <w:tc>
          <w:tcPr>
            <w:tcW w:w="1276"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7" w:type="dxa"/>
            <w:tcBorders/>
            <w:shd w:fill="CCEEFF" w:val="clear"/>
          </w:tcPr>
          <w:p>
            <w:pPr>
              <w:pStyle w:val="TableContents"/>
              <w:bidi w:val="0"/>
              <w:spacing w:before="0" w:after="283"/>
              <w:jc w:val="left"/>
              <w:rPr>
                <w:sz w:val="4"/>
                <w:szCs w:val="4"/>
              </w:rPr>
            </w:pPr>
            <w:r>
              <w:rPr>
                <w:sz w:val="4"/>
                <w:szCs w:val="4"/>
              </w:rPr>
            </w:r>
          </w:p>
        </w:tc>
        <w:tc>
          <w:tcPr>
            <w:tcW w:w="1550" w:type="dxa"/>
            <w:tcBorders/>
            <w:shd w:fill="CCEEFF" w:val="clear"/>
          </w:tcPr>
          <w:p>
            <w:pPr>
              <w:pStyle w:val="TableContents"/>
              <w:bidi w:val="0"/>
              <w:spacing w:before="0" w:after="283"/>
              <w:jc w:val="left"/>
              <w:rPr>
                <w:sz w:val="4"/>
                <w:szCs w:val="4"/>
              </w:rPr>
            </w:pPr>
            <w:r>
              <w:rPr>
                <w:sz w:val="4"/>
                <w:szCs w:val="4"/>
              </w:rPr>
            </w:r>
          </w:p>
        </w:tc>
        <w:tc>
          <w:tcPr>
            <w:tcW w:w="69" w:type="dxa"/>
            <w:tcBorders/>
            <w:shd w:fill="CCEEFF" w:val="clear"/>
          </w:tcPr>
          <w:p>
            <w:pPr>
              <w:pStyle w:val="TableContents"/>
              <w:bidi w:val="0"/>
              <w:spacing w:before="0" w:after="283"/>
              <w:jc w:val="left"/>
              <w:rPr>
                <w:sz w:val="4"/>
                <w:szCs w:val="4"/>
              </w:rPr>
            </w:pPr>
            <w:r>
              <w:rPr>
                <w:sz w:val="4"/>
                <w:szCs w:val="4"/>
              </w:rPr>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Maxwell Bikoff</w:t>
            </w:r>
          </w:p>
        </w:tc>
        <w:tc>
          <w:tcPr>
            <w:tcW w:w="160" w:type="dxa"/>
            <w:tcBorders/>
            <w:vAlign w:val="bottom"/>
          </w:tcPr>
          <w:p>
            <w:pPr>
              <w:pStyle w:val="TableContents"/>
              <w:bidi w:val="0"/>
              <w:spacing w:before="0" w:after="283"/>
              <w:jc w:val="left"/>
              <w:rPr/>
            </w:pPr>
            <w:r>
              <w:rPr/>
              <w:t> </w:t>
            </w:r>
          </w:p>
        </w:tc>
        <w:tc>
          <w:tcPr>
            <w:tcW w:w="104" w:type="dxa"/>
            <w:tcBorders/>
          </w:tcPr>
          <w:p>
            <w:pPr>
              <w:pStyle w:val="TableContents"/>
              <w:bidi w:val="0"/>
              <w:spacing w:before="0" w:after="283"/>
              <w:jc w:val="left"/>
              <w:rPr/>
            </w:pPr>
            <w:r>
              <w:rPr/>
              <w:t> </w:t>
            </w:r>
          </w:p>
        </w:tc>
        <w:tc>
          <w:tcPr>
            <w:tcW w:w="446" w:type="dxa"/>
            <w:tcBorders/>
          </w:tcPr>
          <w:p>
            <w:pPr>
              <w:pStyle w:val="TableContents"/>
              <w:bidi w:val="0"/>
              <w:spacing w:before="0" w:after="283"/>
              <w:jc w:val="right"/>
              <w:rPr/>
            </w:pPr>
            <w:r>
              <w:rPr/>
              <w:t>I</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39</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36" w:type="dxa"/>
            <w:tcBorders/>
          </w:tcPr>
          <w:p>
            <w:pPr>
              <w:pStyle w:val="TableContents"/>
              <w:bidi w:val="0"/>
              <w:spacing w:before="0" w:after="283"/>
              <w:jc w:val="center"/>
              <w:rPr/>
            </w:pPr>
            <w:r>
              <w:rPr/>
              <w:t>Director</w:t>
            </w:r>
          </w:p>
        </w:tc>
        <w:tc>
          <w:tcPr>
            <w:tcW w:w="160" w:type="dxa"/>
            <w:tcBorders/>
            <w:vAlign w:val="bottom"/>
          </w:tcPr>
          <w:p>
            <w:pPr>
              <w:pStyle w:val="TableContents"/>
              <w:bidi w:val="0"/>
              <w:spacing w:before="0" w:after="283"/>
              <w:jc w:val="left"/>
              <w:rPr/>
            </w:pPr>
            <w:r>
              <w:rPr/>
              <w:t> </w:t>
            </w:r>
          </w:p>
        </w:tc>
        <w:tc>
          <w:tcPr>
            <w:tcW w:w="107" w:type="dxa"/>
            <w:tcBorders/>
          </w:tcPr>
          <w:p>
            <w:pPr>
              <w:pStyle w:val="TableContents"/>
              <w:bidi w:val="0"/>
              <w:spacing w:before="0" w:after="283"/>
              <w:jc w:val="left"/>
              <w:rPr/>
            </w:pPr>
            <w:r>
              <w:rPr/>
              <w:t> </w:t>
            </w:r>
          </w:p>
        </w:tc>
        <w:tc>
          <w:tcPr>
            <w:tcW w:w="938" w:type="dxa"/>
            <w:tcBorders/>
          </w:tcPr>
          <w:p>
            <w:pPr>
              <w:pStyle w:val="TableContents"/>
              <w:bidi w:val="0"/>
              <w:spacing w:before="0" w:after="283"/>
              <w:jc w:val="right"/>
              <w:rPr/>
            </w:pPr>
            <w:r>
              <w:rPr/>
              <w:t>2025</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5" w:type="dxa"/>
            <w:tcBorders/>
          </w:tcPr>
          <w:p>
            <w:pPr>
              <w:pStyle w:val="TableContents"/>
              <w:bidi w:val="0"/>
              <w:spacing w:before="0" w:after="283"/>
              <w:jc w:val="left"/>
              <w:rPr/>
            </w:pPr>
            <w:r>
              <w:rPr/>
              <w:t> </w:t>
            </w:r>
          </w:p>
        </w:tc>
        <w:tc>
          <w:tcPr>
            <w:tcW w:w="1276" w:type="dxa"/>
            <w:tcBorders/>
          </w:tcPr>
          <w:p>
            <w:pPr>
              <w:pStyle w:val="TableContents"/>
              <w:bidi w:val="0"/>
              <w:spacing w:before="0" w:after="283"/>
              <w:jc w:val="right"/>
              <w:rPr/>
            </w:pPr>
            <w:r>
              <w:rPr/>
              <w:t>2025</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7" w:type="dxa"/>
            <w:tcBorders/>
          </w:tcPr>
          <w:p>
            <w:pPr>
              <w:pStyle w:val="TableContents"/>
              <w:bidi w:val="0"/>
              <w:spacing w:before="0" w:after="283"/>
              <w:jc w:val="left"/>
              <w:rPr>
                <w:sz w:val="4"/>
                <w:szCs w:val="4"/>
              </w:rPr>
            </w:pPr>
            <w:r>
              <w:rPr>
                <w:sz w:val="4"/>
                <w:szCs w:val="4"/>
              </w:rPr>
            </w:r>
          </w:p>
        </w:tc>
        <w:tc>
          <w:tcPr>
            <w:tcW w:w="1550"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Gordon</w:t>
            </w:r>
          </w:p>
        </w:tc>
        <w:tc>
          <w:tcPr>
            <w:tcW w:w="160" w:type="dxa"/>
            <w:tcBorders/>
            <w:shd w:fill="CCEEFF" w:val="clear"/>
            <w:vAlign w:val="bottom"/>
          </w:tcPr>
          <w:p>
            <w:pPr>
              <w:pStyle w:val="TableContents"/>
              <w:bidi w:val="0"/>
              <w:spacing w:before="0" w:after="283"/>
              <w:jc w:val="left"/>
              <w:rPr/>
            </w:pPr>
            <w:r>
              <w:rPr/>
              <w:t> </w:t>
            </w:r>
          </w:p>
        </w:tc>
        <w:tc>
          <w:tcPr>
            <w:tcW w:w="104" w:type="dxa"/>
            <w:tcBorders/>
            <w:shd w:fill="CCEEFF" w:val="clear"/>
          </w:tcPr>
          <w:p>
            <w:pPr>
              <w:pStyle w:val="TableContents"/>
              <w:bidi w:val="0"/>
              <w:spacing w:before="0" w:after="283"/>
              <w:jc w:val="left"/>
              <w:rPr/>
            </w:pPr>
            <w:r>
              <w:rPr/>
              <w:t> </w:t>
            </w:r>
          </w:p>
        </w:tc>
        <w:tc>
          <w:tcPr>
            <w:tcW w:w="446" w:type="dxa"/>
            <w:tcBorders/>
            <w:shd w:fill="CCEEFF" w:val="clear"/>
          </w:tcPr>
          <w:p>
            <w:pPr>
              <w:pStyle w:val="TableContents"/>
              <w:bidi w:val="0"/>
              <w:spacing w:before="0" w:after="283"/>
              <w:jc w:val="right"/>
              <w:rPr/>
            </w:pPr>
            <w:r>
              <w:rPr/>
              <w:t>I</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52</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36" w:type="dxa"/>
            <w:tcBorders/>
            <w:shd w:fill="CCEEFF" w:val="clear"/>
          </w:tcPr>
          <w:p>
            <w:pPr>
              <w:pStyle w:val="TableContents"/>
              <w:bidi w:val="0"/>
              <w:spacing w:before="0" w:after="283"/>
              <w:jc w:val="center"/>
              <w:rPr/>
            </w:pPr>
            <w:r>
              <w:rPr/>
              <w:t>Director</w:t>
            </w:r>
          </w:p>
        </w:tc>
        <w:tc>
          <w:tcPr>
            <w:tcW w:w="160" w:type="dxa"/>
            <w:tcBorders/>
            <w:shd w:fill="CCEEFF" w:val="clear"/>
            <w:vAlign w:val="bottom"/>
          </w:tcPr>
          <w:p>
            <w:pPr>
              <w:pStyle w:val="TableContents"/>
              <w:bidi w:val="0"/>
              <w:spacing w:before="0" w:after="283"/>
              <w:jc w:val="left"/>
              <w:rPr/>
            </w:pPr>
            <w:r>
              <w:rPr/>
              <w:t> </w:t>
            </w:r>
          </w:p>
        </w:tc>
        <w:tc>
          <w:tcPr>
            <w:tcW w:w="107" w:type="dxa"/>
            <w:tcBorders/>
            <w:shd w:fill="CCEEFF" w:val="clear"/>
          </w:tcPr>
          <w:p>
            <w:pPr>
              <w:pStyle w:val="TableContents"/>
              <w:bidi w:val="0"/>
              <w:spacing w:before="0" w:after="283"/>
              <w:jc w:val="left"/>
              <w:rPr/>
            </w:pPr>
            <w:r>
              <w:rPr/>
              <w:t> </w:t>
            </w:r>
          </w:p>
        </w:tc>
        <w:tc>
          <w:tcPr>
            <w:tcW w:w="938" w:type="dxa"/>
            <w:tcBorders/>
            <w:shd w:fill="CCEEFF" w:val="clear"/>
          </w:tcPr>
          <w:p>
            <w:pPr>
              <w:pStyle w:val="TableContents"/>
              <w:bidi w:val="0"/>
              <w:spacing w:before="0" w:after="283"/>
              <w:jc w:val="right"/>
              <w:rPr/>
            </w:pPr>
            <w:r>
              <w:rPr/>
              <w:t>2021</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5" w:type="dxa"/>
            <w:tcBorders/>
            <w:shd w:fill="CCEEFF" w:val="clear"/>
          </w:tcPr>
          <w:p>
            <w:pPr>
              <w:pStyle w:val="TableContents"/>
              <w:bidi w:val="0"/>
              <w:spacing w:before="0" w:after="283"/>
              <w:jc w:val="left"/>
              <w:rPr/>
            </w:pPr>
            <w:r>
              <w:rPr/>
              <w:t> </w:t>
            </w:r>
          </w:p>
        </w:tc>
        <w:tc>
          <w:tcPr>
            <w:tcW w:w="1276"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7" w:type="dxa"/>
            <w:tcBorders/>
            <w:shd w:fill="CCEEFF" w:val="clear"/>
          </w:tcPr>
          <w:p>
            <w:pPr>
              <w:pStyle w:val="TableContents"/>
              <w:bidi w:val="0"/>
              <w:spacing w:before="0" w:after="283"/>
              <w:jc w:val="left"/>
              <w:rPr>
                <w:sz w:val="4"/>
                <w:szCs w:val="4"/>
              </w:rPr>
            </w:pPr>
            <w:r>
              <w:rPr>
                <w:sz w:val="4"/>
                <w:szCs w:val="4"/>
              </w:rPr>
            </w:r>
          </w:p>
        </w:tc>
        <w:tc>
          <w:tcPr>
            <w:tcW w:w="1550" w:type="dxa"/>
            <w:tcBorders/>
            <w:shd w:fill="CCEEFF" w:val="clear"/>
          </w:tcPr>
          <w:p>
            <w:pPr>
              <w:pStyle w:val="TableContents"/>
              <w:bidi w:val="0"/>
              <w:spacing w:before="0" w:after="283"/>
              <w:jc w:val="left"/>
              <w:rPr>
                <w:sz w:val="4"/>
                <w:szCs w:val="4"/>
              </w:rPr>
            </w:pPr>
            <w:r>
              <w:rPr>
                <w:sz w:val="4"/>
                <w:szCs w:val="4"/>
              </w:rPr>
            </w:r>
          </w:p>
        </w:tc>
        <w:tc>
          <w:tcPr>
            <w:tcW w:w="69" w:type="dxa"/>
            <w:tcBorders/>
            <w:shd w:fill="CCEEFF" w:val="clear"/>
          </w:tcPr>
          <w:p>
            <w:pPr>
              <w:pStyle w:val="TableContents"/>
              <w:bidi w:val="0"/>
              <w:spacing w:before="0" w:after="283"/>
              <w:jc w:val="left"/>
              <w:rPr>
                <w:sz w:val="4"/>
                <w:szCs w:val="4"/>
              </w:rPr>
            </w:pPr>
            <w:r>
              <w:rPr>
                <w:sz w:val="4"/>
                <w:szCs w:val="4"/>
              </w:rPr>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Conor Hanley</w:t>
            </w:r>
          </w:p>
        </w:tc>
        <w:tc>
          <w:tcPr>
            <w:tcW w:w="160" w:type="dxa"/>
            <w:tcBorders/>
            <w:vAlign w:val="bottom"/>
          </w:tcPr>
          <w:p>
            <w:pPr>
              <w:pStyle w:val="TableContents"/>
              <w:bidi w:val="0"/>
              <w:spacing w:before="0" w:after="283"/>
              <w:jc w:val="left"/>
              <w:rPr/>
            </w:pPr>
            <w:r>
              <w:rPr/>
              <w:t> </w:t>
            </w:r>
          </w:p>
        </w:tc>
        <w:tc>
          <w:tcPr>
            <w:tcW w:w="104" w:type="dxa"/>
            <w:tcBorders/>
          </w:tcPr>
          <w:p>
            <w:pPr>
              <w:pStyle w:val="TableContents"/>
              <w:bidi w:val="0"/>
              <w:spacing w:before="0" w:after="283"/>
              <w:jc w:val="left"/>
              <w:rPr/>
            </w:pPr>
            <w:r>
              <w:rPr/>
              <w:t> </w:t>
            </w:r>
          </w:p>
        </w:tc>
        <w:tc>
          <w:tcPr>
            <w:tcW w:w="446" w:type="dxa"/>
            <w:tcBorders/>
          </w:tcPr>
          <w:p>
            <w:pPr>
              <w:pStyle w:val="TableContents"/>
              <w:bidi w:val="0"/>
              <w:spacing w:before="0" w:after="283"/>
              <w:jc w:val="right"/>
              <w:rPr/>
            </w:pPr>
            <w:r>
              <w:rPr/>
              <w:t>I</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56</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36" w:type="dxa"/>
            <w:tcBorders/>
          </w:tcPr>
          <w:p>
            <w:pPr>
              <w:pStyle w:val="TableContents"/>
              <w:bidi w:val="0"/>
              <w:spacing w:before="0" w:after="283"/>
              <w:jc w:val="center"/>
              <w:rPr/>
            </w:pPr>
            <w:r>
              <w:rPr/>
              <w:t>Director</w:t>
            </w:r>
          </w:p>
        </w:tc>
        <w:tc>
          <w:tcPr>
            <w:tcW w:w="160" w:type="dxa"/>
            <w:tcBorders/>
            <w:vAlign w:val="bottom"/>
          </w:tcPr>
          <w:p>
            <w:pPr>
              <w:pStyle w:val="TableContents"/>
              <w:bidi w:val="0"/>
              <w:spacing w:before="0" w:after="283"/>
              <w:jc w:val="left"/>
              <w:rPr/>
            </w:pPr>
            <w:r>
              <w:rPr/>
              <w:t> </w:t>
            </w:r>
          </w:p>
        </w:tc>
        <w:tc>
          <w:tcPr>
            <w:tcW w:w="107" w:type="dxa"/>
            <w:tcBorders/>
          </w:tcPr>
          <w:p>
            <w:pPr>
              <w:pStyle w:val="TableContents"/>
              <w:bidi w:val="0"/>
              <w:spacing w:before="0" w:after="283"/>
              <w:jc w:val="left"/>
              <w:rPr/>
            </w:pPr>
            <w:r>
              <w:rPr/>
              <w:t> </w:t>
            </w:r>
          </w:p>
        </w:tc>
        <w:tc>
          <w:tcPr>
            <w:tcW w:w="938" w:type="dxa"/>
            <w:tcBorders/>
          </w:tcPr>
          <w:p>
            <w:pPr>
              <w:pStyle w:val="TableContents"/>
              <w:bidi w:val="0"/>
              <w:spacing w:before="0" w:after="283"/>
              <w:jc w:val="right"/>
              <w:rPr/>
            </w:pPr>
            <w:r>
              <w:rPr/>
              <w:t>2025</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5" w:type="dxa"/>
            <w:tcBorders/>
          </w:tcPr>
          <w:p>
            <w:pPr>
              <w:pStyle w:val="TableContents"/>
              <w:bidi w:val="0"/>
              <w:spacing w:before="0" w:after="283"/>
              <w:jc w:val="left"/>
              <w:rPr/>
            </w:pPr>
            <w:r>
              <w:rPr/>
              <w:t> </w:t>
            </w:r>
          </w:p>
        </w:tc>
        <w:tc>
          <w:tcPr>
            <w:tcW w:w="1276" w:type="dxa"/>
            <w:tcBorders/>
          </w:tcPr>
          <w:p>
            <w:pPr>
              <w:pStyle w:val="TableContents"/>
              <w:bidi w:val="0"/>
              <w:spacing w:before="0" w:after="283"/>
              <w:jc w:val="right"/>
              <w:rPr/>
            </w:pPr>
            <w:r>
              <w:rPr/>
              <w:t>2025</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7" w:type="dxa"/>
            <w:tcBorders/>
          </w:tcPr>
          <w:p>
            <w:pPr>
              <w:pStyle w:val="TableContents"/>
              <w:bidi w:val="0"/>
              <w:spacing w:before="0" w:after="283"/>
              <w:jc w:val="left"/>
              <w:rPr/>
            </w:pPr>
            <w:r>
              <w:rPr/>
              <w:t> </w:t>
            </w:r>
          </w:p>
        </w:tc>
        <w:tc>
          <w:tcPr>
            <w:tcW w:w="1550" w:type="dxa"/>
            <w:tcBorders/>
          </w:tcPr>
          <w:p>
            <w:pPr>
              <w:pStyle w:val="TableContents"/>
              <w:bidi w:val="0"/>
              <w:spacing w:before="0" w:after="283"/>
              <w:jc w:val="right"/>
              <w:rPr/>
            </w:pPr>
            <w:r>
              <w:rPr/>
              <w:t>2028</w:t>
            </w:r>
          </w:p>
        </w:tc>
        <w:tc>
          <w:tcPr>
            <w:tcW w:w="69" w:type="dxa"/>
            <w:tcBorders/>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Elizabeth Kwo, Ph.D.</w:t>
            </w:r>
          </w:p>
        </w:tc>
        <w:tc>
          <w:tcPr>
            <w:tcW w:w="160" w:type="dxa"/>
            <w:tcBorders/>
            <w:shd w:fill="CCEEFF" w:val="clear"/>
            <w:vAlign w:val="bottom"/>
          </w:tcPr>
          <w:p>
            <w:pPr>
              <w:pStyle w:val="TableContents"/>
              <w:bidi w:val="0"/>
              <w:spacing w:before="0" w:after="283"/>
              <w:jc w:val="left"/>
              <w:rPr/>
            </w:pPr>
            <w:r>
              <w:rPr/>
              <w:t> </w:t>
            </w:r>
          </w:p>
        </w:tc>
        <w:tc>
          <w:tcPr>
            <w:tcW w:w="104" w:type="dxa"/>
            <w:tcBorders/>
            <w:shd w:fill="CCEEFF" w:val="clear"/>
          </w:tcPr>
          <w:p>
            <w:pPr>
              <w:pStyle w:val="TableContents"/>
              <w:bidi w:val="0"/>
              <w:spacing w:before="0" w:after="283"/>
              <w:jc w:val="left"/>
              <w:rPr/>
            </w:pPr>
            <w:r>
              <w:rPr/>
              <w:t> </w:t>
            </w:r>
          </w:p>
        </w:tc>
        <w:tc>
          <w:tcPr>
            <w:tcW w:w="446" w:type="dxa"/>
            <w:tcBorders/>
            <w:shd w:fill="CCEEFF" w:val="clear"/>
          </w:tcPr>
          <w:p>
            <w:pPr>
              <w:pStyle w:val="TableContents"/>
              <w:bidi w:val="0"/>
              <w:spacing w:before="0" w:after="283"/>
              <w:jc w:val="right"/>
              <w:rPr/>
            </w:pPr>
            <w:r>
              <w:rPr/>
              <w:t>I</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44</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36" w:type="dxa"/>
            <w:tcBorders/>
            <w:shd w:fill="CCEEFF" w:val="clear"/>
          </w:tcPr>
          <w:p>
            <w:pPr>
              <w:pStyle w:val="TableContents"/>
              <w:bidi w:val="0"/>
              <w:spacing w:before="0" w:after="283"/>
              <w:jc w:val="center"/>
              <w:rPr/>
            </w:pPr>
            <w:r>
              <w:rPr/>
              <w:t>Director Nominee</w:t>
            </w:r>
          </w:p>
        </w:tc>
        <w:tc>
          <w:tcPr>
            <w:tcW w:w="160" w:type="dxa"/>
            <w:tcBorders/>
            <w:shd w:fill="CCEEFF" w:val="clear"/>
            <w:vAlign w:val="bottom"/>
          </w:tcPr>
          <w:p>
            <w:pPr>
              <w:pStyle w:val="TableContents"/>
              <w:bidi w:val="0"/>
              <w:spacing w:before="0" w:after="283"/>
              <w:jc w:val="left"/>
              <w:rPr/>
            </w:pPr>
            <w:r>
              <w:rPr/>
              <w:t> </w:t>
            </w:r>
          </w:p>
        </w:tc>
        <w:tc>
          <w:tcPr>
            <w:tcW w:w="107" w:type="dxa"/>
            <w:tcBorders/>
            <w:shd w:fill="CCEEFF" w:val="clear"/>
          </w:tcPr>
          <w:p>
            <w:pPr>
              <w:pStyle w:val="TableContents"/>
              <w:bidi w:val="0"/>
              <w:spacing w:before="0" w:after="283"/>
              <w:jc w:val="left"/>
              <w:rPr/>
            </w:pPr>
            <w:r>
              <w:rPr/>
              <w:t> </w:t>
            </w:r>
          </w:p>
        </w:tc>
        <w:tc>
          <w:tcPr>
            <w:tcW w:w="938"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5" w:type="dxa"/>
            <w:tcBorders/>
            <w:shd w:fill="CCEEFF" w:val="clear"/>
          </w:tcPr>
          <w:p>
            <w:pPr>
              <w:pStyle w:val="TableContents"/>
              <w:bidi w:val="0"/>
              <w:spacing w:before="0" w:after="283"/>
              <w:jc w:val="left"/>
              <w:rPr/>
            </w:pPr>
            <w:r>
              <w:rPr/>
              <w:t> </w:t>
            </w:r>
          </w:p>
        </w:tc>
        <w:tc>
          <w:tcPr>
            <w:tcW w:w="1276"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7" w:type="dxa"/>
            <w:tcBorders/>
            <w:shd w:fill="CCEEFF" w:val="clear"/>
          </w:tcPr>
          <w:p>
            <w:pPr>
              <w:pStyle w:val="TableContents"/>
              <w:bidi w:val="0"/>
              <w:spacing w:before="0" w:after="283"/>
              <w:jc w:val="left"/>
              <w:rPr/>
            </w:pPr>
            <w:r>
              <w:rPr/>
              <w:t> </w:t>
            </w:r>
          </w:p>
        </w:tc>
        <w:tc>
          <w:tcPr>
            <w:tcW w:w="1550" w:type="dxa"/>
            <w:tcBorders/>
            <w:shd w:fill="CCEEFF" w:val="clear"/>
          </w:tcPr>
          <w:p>
            <w:pPr>
              <w:pStyle w:val="TableContents"/>
              <w:bidi w:val="0"/>
              <w:spacing w:before="0" w:after="283"/>
              <w:jc w:val="right"/>
              <w:rPr/>
            </w:pPr>
            <w:r>
              <w:rPr/>
              <w:t>2028</w:t>
            </w:r>
          </w:p>
        </w:tc>
        <w:tc>
          <w:tcPr>
            <w:tcW w:w="69" w:type="dxa"/>
            <w:tcBorders/>
            <w:shd w:fill="CCEEFF" w:val="clea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Brian Webster</w:t>
            </w:r>
          </w:p>
        </w:tc>
        <w:tc>
          <w:tcPr>
            <w:tcW w:w="160" w:type="dxa"/>
            <w:tcBorders/>
            <w:vAlign w:val="bottom"/>
          </w:tcPr>
          <w:p>
            <w:pPr>
              <w:pStyle w:val="TableContents"/>
              <w:bidi w:val="0"/>
              <w:spacing w:before="0" w:after="283"/>
              <w:jc w:val="left"/>
              <w:rPr/>
            </w:pPr>
            <w:r>
              <w:rPr/>
              <w:t> </w:t>
            </w:r>
          </w:p>
        </w:tc>
        <w:tc>
          <w:tcPr>
            <w:tcW w:w="104" w:type="dxa"/>
            <w:tcBorders/>
          </w:tcPr>
          <w:p>
            <w:pPr>
              <w:pStyle w:val="TableContents"/>
              <w:bidi w:val="0"/>
              <w:spacing w:before="0" w:after="283"/>
              <w:jc w:val="left"/>
              <w:rPr/>
            </w:pPr>
            <w:r>
              <w:rPr/>
              <w:t> </w:t>
            </w:r>
          </w:p>
        </w:tc>
        <w:tc>
          <w:tcPr>
            <w:tcW w:w="446" w:type="dxa"/>
            <w:tcBorders/>
          </w:tcPr>
          <w:p>
            <w:pPr>
              <w:pStyle w:val="TableContents"/>
              <w:bidi w:val="0"/>
              <w:spacing w:before="0" w:after="283"/>
              <w:jc w:val="right"/>
              <w:rPr/>
            </w:pPr>
            <w:r>
              <w:rPr/>
              <w:t>III</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61</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36" w:type="dxa"/>
            <w:tcBorders/>
          </w:tcPr>
          <w:p>
            <w:pPr>
              <w:pStyle w:val="TableContents"/>
              <w:bidi w:val="0"/>
              <w:jc w:val="center"/>
              <w:rPr/>
            </w:pPr>
            <w:r>
              <w:rPr/>
              <w:t>President,</w:t>
            </w:r>
          </w:p>
          <w:p>
            <w:pPr>
              <w:pStyle w:val="TableContents"/>
              <w:bidi w:val="0"/>
              <w:spacing w:before="0" w:after="0"/>
              <w:jc w:val="center"/>
              <w:rPr>
                <w:rFonts w:ascii="Times New Roman" w:hAnsi="Times New Roman"/>
                <w:sz w:val="20"/>
              </w:rPr>
            </w:pPr>
            <w:r>
              <w:rPr>
                <w:rFonts w:ascii="Times New Roman" w:hAnsi="Times New Roman"/>
                <w:sz w:val="20"/>
              </w:rPr>
              <w:t>CEO &amp;</w:t>
            </w:r>
          </w:p>
          <w:p>
            <w:pPr>
              <w:pStyle w:val="TableContents"/>
              <w:bidi w:val="0"/>
              <w:spacing w:before="0" w:after="20"/>
              <w:jc w:val="center"/>
              <w:rPr>
                <w:rFonts w:ascii="Times New Roman" w:hAnsi="Times New Roman"/>
                <w:sz w:val="20"/>
              </w:rPr>
            </w:pPr>
            <w:r>
              <w:rPr>
                <w:rFonts w:ascii="Times New Roman" w:hAnsi="Times New Roman"/>
                <w:sz w:val="20"/>
              </w:rPr>
              <w:t>Director(1)</w:t>
            </w:r>
          </w:p>
        </w:tc>
        <w:tc>
          <w:tcPr>
            <w:tcW w:w="160" w:type="dxa"/>
            <w:tcBorders/>
            <w:vAlign w:val="bottom"/>
          </w:tcPr>
          <w:p>
            <w:pPr>
              <w:pStyle w:val="TableContents"/>
              <w:bidi w:val="0"/>
              <w:spacing w:before="0" w:after="283"/>
              <w:jc w:val="left"/>
              <w:rPr/>
            </w:pPr>
            <w:r>
              <w:rPr/>
              <w:t> </w:t>
            </w:r>
          </w:p>
        </w:tc>
        <w:tc>
          <w:tcPr>
            <w:tcW w:w="107" w:type="dxa"/>
            <w:tcBorders/>
          </w:tcPr>
          <w:p>
            <w:pPr>
              <w:pStyle w:val="TableContents"/>
              <w:bidi w:val="0"/>
              <w:spacing w:before="0" w:after="283"/>
              <w:jc w:val="left"/>
              <w:rPr/>
            </w:pPr>
            <w:r>
              <w:rPr/>
              <w:t> </w:t>
            </w:r>
          </w:p>
        </w:tc>
        <w:tc>
          <w:tcPr>
            <w:tcW w:w="938" w:type="dxa"/>
            <w:tcBorders/>
          </w:tcPr>
          <w:p>
            <w:pPr>
              <w:pStyle w:val="TableContents"/>
              <w:bidi w:val="0"/>
              <w:spacing w:before="0" w:after="283"/>
              <w:jc w:val="right"/>
              <w:rPr/>
            </w:pPr>
            <w:r>
              <w:rPr/>
              <w:t>2021</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5" w:type="dxa"/>
            <w:tcBorders/>
          </w:tcPr>
          <w:p>
            <w:pPr>
              <w:pStyle w:val="TableContents"/>
              <w:bidi w:val="0"/>
              <w:spacing w:before="0" w:after="283"/>
              <w:jc w:val="left"/>
              <w:rPr/>
            </w:pPr>
            <w:r>
              <w:rPr/>
              <w:t> </w:t>
            </w:r>
          </w:p>
        </w:tc>
        <w:tc>
          <w:tcPr>
            <w:tcW w:w="1276" w:type="dxa"/>
            <w:tcBorders/>
          </w:tcPr>
          <w:p>
            <w:pPr>
              <w:pStyle w:val="TableContents"/>
              <w:bidi w:val="0"/>
              <w:spacing w:before="0" w:after="283"/>
              <w:jc w:val="right"/>
              <w:rPr/>
            </w:pPr>
            <w:r>
              <w:rPr/>
              <w:t>2027</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7" w:type="dxa"/>
            <w:tcBorders/>
          </w:tcPr>
          <w:p>
            <w:pPr>
              <w:pStyle w:val="TableContents"/>
              <w:bidi w:val="0"/>
              <w:spacing w:before="0" w:after="283"/>
              <w:jc w:val="left"/>
              <w:rPr>
                <w:sz w:val="4"/>
                <w:szCs w:val="4"/>
              </w:rPr>
            </w:pPr>
            <w:r>
              <w:rPr>
                <w:sz w:val="4"/>
                <w:szCs w:val="4"/>
              </w:rPr>
            </w:r>
          </w:p>
        </w:tc>
        <w:tc>
          <w:tcPr>
            <w:tcW w:w="1550"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Traci S. Umberger</w:t>
            </w:r>
          </w:p>
        </w:tc>
        <w:tc>
          <w:tcPr>
            <w:tcW w:w="160" w:type="dxa"/>
            <w:tcBorders/>
            <w:shd w:fill="CCEEFF" w:val="clear"/>
            <w:vAlign w:val="bottom"/>
          </w:tcPr>
          <w:p>
            <w:pPr>
              <w:pStyle w:val="TableContents"/>
              <w:bidi w:val="0"/>
              <w:spacing w:before="0" w:after="283"/>
              <w:jc w:val="left"/>
              <w:rPr/>
            </w:pPr>
            <w:r>
              <w:rPr/>
              <w:t> </w:t>
            </w:r>
          </w:p>
        </w:tc>
        <w:tc>
          <w:tcPr>
            <w:tcW w:w="104" w:type="dxa"/>
            <w:tcBorders/>
            <w:shd w:fill="CCEEFF" w:val="clear"/>
          </w:tcPr>
          <w:p>
            <w:pPr>
              <w:pStyle w:val="TableContents"/>
              <w:bidi w:val="0"/>
              <w:spacing w:before="0" w:after="283"/>
              <w:jc w:val="left"/>
              <w:rPr/>
            </w:pPr>
            <w:r>
              <w:rPr/>
              <w:t> </w:t>
            </w:r>
          </w:p>
        </w:tc>
        <w:tc>
          <w:tcPr>
            <w:tcW w:w="446" w:type="dxa"/>
            <w:tcBorders/>
            <w:shd w:fill="CCEEFF" w:val="clear"/>
          </w:tcPr>
          <w:p>
            <w:pPr>
              <w:pStyle w:val="TableContents"/>
              <w:bidi w:val="0"/>
              <w:spacing w:before="0" w:after="283"/>
              <w:jc w:val="right"/>
              <w:rPr/>
            </w:pPr>
            <w:r>
              <w:rPr/>
              <w:t>II</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62</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36" w:type="dxa"/>
            <w:tcBorders/>
            <w:shd w:fill="CCEEFF" w:val="clear"/>
          </w:tcPr>
          <w:p>
            <w:pPr>
              <w:pStyle w:val="TableContents"/>
              <w:bidi w:val="0"/>
              <w:jc w:val="center"/>
              <w:rPr/>
            </w:pPr>
            <w:r>
              <w:rPr/>
              <w:t>GC,</w:t>
            </w:r>
          </w:p>
          <w:p>
            <w:pPr>
              <w:pStyle w:val="TableContents"/>
              <w:bidi w:val="0"/>
              <w:spacing w:before="0" w:after="0"/>
              <w:jc w:val="center"/>
              <w:rPr>
                <w:rFonts w:ascii="Times New Roman" w:hAnsi="Times New Roman"/>
                <w:sz w:val="20"/>
              </w:rPr>
            </w:pPr>
            <w:r>
              <w:rPr>
                <w:rFonts w:ascii="Times New Roman" w:hAnsi="Times New Roman"/>
                <w:sz w:val="20"/>
              </w:rPr>
              <w:t>CAO &amp;</w:t>
            </w:r>
          </w:p>
          <w:p>
            <w:pPr>
              <w:pStyle w:val="TableContents"/>
              <w:bidi w:val="0"/>
              <w:spacing w:before="0" w:after="20"/>
              <w:jc w:val="center"/>
              <w:rPr>
                <w:rFonts w:ascii="Times New Roman" w:hAnsi="Times New Roman"/>
                <w:sz w:val="20"/>
              </w:rPr>
            </w:pPr>
            <w:r>
              <w:rPr>
                <w:rFonts w:ascii="Times New Roman" w:hAnsi="Times New Roman"/>
                <w:sz w:val="20"/>
              </w:rPr>
              <w:t>Director(2)</w:t>
            </w:r>
          </w:p>
        </w:tc>
        <w:tc>
          <w:tcPr>
            <w:tcW w:w="160" w:type="dxa"/>
            <w:tcBorders/>
            <w:shd w:fill="CCEEFF" w:val="clear"/>
            <w:vAlign w:val="bottom"/>
          </w:tcPr>
          <w:p>
            <w:pPr>
              <w:pStyle w:val="TableContents"/>
              <w:bidi w:val="0"/>
              <w:spacing w:before="0" w:after="283"/>
              <w:jc w:val="left"/>
              <w:rPr/>
            </w:pPr>
            <w:r>
              <w:rPr/>
              <w:t> </w:t>
            </w:r>
          </w:p>
        </w:tc>
        <w:tc>
          <w:tcPr>
            <w:tcW w:w="107" w:type="dxa"/>
            <w:tcBorders/>
            <w:shd w:fill="CCEEFF" w:val="clear"/>
          </w:tcPr>
          <w:p>
            <w:pPr>
              <w:pStyle w:val="TableContents"/>
              <w:bidi w:val="0"/>
              <w:spacing w:before="0" w:after="283"/>
              <w:jc w:val="left"/>
              <w:rPr/>
            </w:pPr>
            <w:r>
              <w:rPr/>
              <w:t> </w:t>
            </w:r>
          </w:p>
        </w:tc>
        <w:tc>
          <w:tcPr>
            <w:tcW w:w="938" w:type="dxa"/>
            <w:tcBorders/>
            <w:shd w:fill="CCEEFF" w:val="clear"/>
          </w:tcPr>
          <w:p>
            <w:pPr>
              <w:pStyle w:val="TableContents"/>
              <w:bidi w:val="0"/>
              <w:spacing w:before="0" w:after="283"/>
              <w:jc w:val="right"/>
              <w:rPr/>
            </w:pPr>
            <w:r>
              <w:rPr/>
              <w:t>2021</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5" w:type="dxa"/>
            <w:tcBorders/>
            <w:shd w:fill="CCEEFF" w:val="clear"/>
          </w:tcPr>
          <w:p>
            <w:pPr>
              <w:pStyle w:val="TableContents"/>
              <w:bidi w:val="0"/>
              <w:spacing w:before="0" w:after="283"/>
              <w:jc w:val="left"/>
              <w:rPr/>
            </w:pPr>
            <w:r>
              <w:rPr/>
              <w:t> </w:t>
            </w:r>
          </w:p>
        </w:tc>
        <w:tc>
          <w:tcPr>
            <w:tcW w:w="1276" w:type="dxa"/>
            <w:tcBorders/>
            <w:shd w:fill="CCEEFF" w:val="clear"/>
          </w:tcPr>
          <w:p>
            <w:pPr>
              <w:pStyle w:val="TableContents"/>
              <w:bidi w:val="0"/>
              <w:spacing w:before="0" w:after="283"/>
              <w:jc w:val="right"/>
              <w:rPr/>
            </w:pPr>
            <w:r>
              <w:rPr/>
              <w:t>2026</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7" w:type="dxa"/>
            <w:tcBorders/>
            <w:shd w:fill="CCEEFF" w:val="clear"/>
          </w:tcPr>
          <w:p>
            <w:pPr>
              <w:pStyle w:val="TableContents"/>
              <w:bidi w:val="0"/>
              <w:spacing w:before="0" w:after="283"/>
              <w:jc w:val="left"/>
              <w:rPr>
                <w:sz w:val="4"/>
                <w:szCs w:val="4"/>
              </w:rPr>
            </w:pPr>
            <w:r>
              <w:rPr>
                <w:sz w:val="4"/>
                <w:szCs w:val="4"/>
              </w:rPr>
            </w:r>
          </w:p>
        </w:tc>
        <w:tc>
          <w:tcPr>
            <w:tcW w:w="1550" w:type="dxa"/>
            <w:tcBorders/>
            <w:shd w:fill="CCEEFF" w:val="clear"/>
          </w:tcPr>
          <w:p>
            <w:pPr>
              <w:pStyle w:val="TableContents"/>
              <w:bidi w:val="0"/>
              <w:spacing w:before="0" w:after="283"/>
              <w:jc w:val="left"/>
              <w:rPr>
                <w:sz w:val="4"/>
                <w:szCs w:val="4"/>
              </w:rPr>
            </w:pPr>
            <w:r>
              <w:rPr>
                <w:sz w:val="4"/>
                <w:szCs w:val="4"/>
              </w:rPr>
            </w:r>
          </w:p>
        </w:tc>
        <w:tc>
          <w:tcPr>
            <w:tcW w:w="69" w:type="dxa"/>
            <w:tcBorders/>
            <w:shd w:fill="CCEEFF" w:val="clear"/>
          </w:tcPr>
          <w:p>
            <w:pPr>
              <w:pStyle w:val="TableContents"/>
              <w:bidi w:val="0"/>
              <w:spacing w:before="0" w:after="283"/>
              <w:jc w:val="left"/>
              <w:rPr>
                <w:sz w:val="4"/>
                <w:szCs w:val="4"/>
              </w:rPr>
            </w:pPr>
            <w:r>
              <w:rPr>
                <w:sz w:val="4"/>
                <w:szCs w:val="4"/>
              </w:rPr>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Jeffrey Schwartz</w:t>
            </w:r>
          </w:p>
        </w:tc>
        <w:tc>
          <w:tcPr>
            <w:tcW w:w="160" w:type="dxa"/>
            <w:tcBorders/>
            <w:vAlign w:val="bottom"/>
          </w:tcPr>
          <w:p>
            <w:pPr>
              <w:pStyle w:val="TableContents"/>
              <w:bidi w:val="0"/>
              <w:spacing w:before="0" w:after="283"/>
              <w:jc w:val="left"/>
              <w:rPr/>
            </w:pPr>
            <w:r>
              <w:rPr/>
              <w:t> </w:t>
            </w:r>
          </w:p>
        </w:tc>
        <w:tc>
          <w:tcPr>
            <w:tcW w:w="104" w:type="dxa"/>
            <w:tcBorders/>
          </w:tcPr>
          <w:p>
            <w:pPr>
              <w:pStyle w:val="TableContents"/>
              <w:bidi w:val="0"/>
              <w:spacing w:before="0" w:after="283"/>
              <w:jc w:val="left"/>
              <w:rPr/>
            </w:pPr>
            <w:r>
              <w:rPr/>
              <w:t> </w:t>
            </w:r>
          </w:p>
        </w:tc>
        <w:tc>
          <w:tcPr>
            <w:tcW w:w="446" w:type="dxa"/>
            <w:tcBorders/>
          </w:tcPr>
          <w:p>
            <w:pPr>
              <w:pStyle w:val="TableContents"/>
              <w:bidi w:val="0"/>
              <w:spacing w:before="0" w:after="283"/>
              <w:jc w:val="right"/>
              <w:rPr/>
            </w:pPr>
            <w:r>
              <w:rPr/>
              <w:t>III</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46</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36" w:type="dxa"/>
            <w:tcBorders/>
          </w:tcPr>
          <w:p>
            <w:pPr>
              <w:pStyle w:val="TableContents"/>
              <w:bidi w:val="0"/>
              <w:jc w:val="center"/>
              <w:rPr/>
            </w:pPr>
            <w:r>
              <w:rPr/>
              <w:t>Director,</w:t>
            </w:r>
          </w:p>
          <w:p>
            <w:pPr>
              <w:pStyle w:val="TableContents"/>
              <w:bidi w:val="0"/>
              <w:spacing w:before="0" w:after="20"/>
              <w:jc w:val="center"/>
              <w:rPr>
                <w:rFonts w:ascii="Times New Roman" w:hAnsi="Times New Roman"/>
                <w:sz w:val="20"/>
              </w:rPr>
            </w:pPr>
            <w:r>
              <w:rPr>
                <w:rFonts w:ascii="Times New Roman" w:hAnsi="Times New Roman"/>
                <w:sz w:val="20"/>
              </w:rPr>
              <w:t>Chairman</w:t>
            </w:r>
          </w:p>
        </w:tc>
        <w:tc>
          <w:tcPr>
            <w:tcW w:w="160" w:type="dxa"/>
            <w:tcBorders/>
            <w:vAlign w:val="bottom"/>
          </w:tcPr>
          <w:p>
            <w:pPr>
              <w:pStyle w:val="TableContents"/>
              <w:bidi w:val="0"/>
              <w:spacing w:before="0" w:after="283"/>
              <w:jc w:val="left"/>
              <w:rPr/>
            </w:pPr>
            <w:r>
              <w:rPr/>
              <w:t> </w:t>
            </w:r>
          </w:p>
        </w:tc>
        <w:tc>
          <w:tcPr>
            <w:tcW w:w="107" w:type="dxa"/>
            <w:tcBorders/>
          </w:tcPr>
          <w:p>
            <w:pPr>
              <w:pStyle w:val="TableContents"/>
              <w:bidi w:val="0"/>
              <w:spacing w:before="0" w:after="283"/>
              <w:jc w:val="left"/>
              <w:rPr/>
            </w:pPr>
            <w:r>
              <w:rPr/>
              <w:t> </w:t>
            </w:r>
          </w:p>
        </w:tc>
        <w:tc>
          <w:tcPr>
            <w:tcW w:w="938"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5" w:type="dxa"/>
            <w:tcBorders/>
          </w:tcPr>
          <w:p>
            <w:pPr>
              <w:pStyle w:val="TableContents"/>
              <w:bidi w:val="0"/>
              <w:spacing w:before="0" w:after="283"/>
              <w:jc w:val="left"/>
              <w:rPr/>
            </w:pPr>
            <w:r>
              <w:rPr/>
              <w:t> </w:t>
            </w:r>
          </w:p>
        </w:tc>
        <w:tc>
          <w:tcPr>
            <w:tcW w:w="1276" w:type="dxa"/>
            <w:tcBorders/>
          </w:tcPr>
          <w:p>
            <w:pPr>
              <w:pStyle w:val="TableContents"/>
              <w:bidi w:val="0"/>
              <w:spacing w:before="0" w:after="283"/>
              <w:jc w:val="right"/>
              <w:rPr/>
            </w:pPr>
            <w:r>
              <w:rPr/>
              <w:t>2027</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7" w:type="dxa"/>
            <w:tcBorders/>
          </w:tcPr>
          <w:p>
            <w:pPr>
              <w:pStyle w:val="TableContents"/>
              <w:bidi w:val="0"/>
              <w:spacing w:before="0" w:after="283"/>
              <w:jc w:val="left"/>
              <w:rPr>
                <w:sz w:val="4"/>
                <w:szCs w:val="4"/>
              </w:rPr>
            </w:pPr>
            <w:r>
              <w:rPr>
                <w:sz w:val="4"/>
                <w:szCs w:val="4"/>
              </w:rPr>
            </w:r>
          </w:p>
        </w:tc>
        <w:tc>
          <w:tcPr>
            <w:tcW w:w="1550"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W. Cohen</w:t>
            </w:r>
          </w:p>
        </w:tc>
        <w:tc>
          <w:tcPr>
            <w:tcW w:w="160" w:type="dxa"/>
            <w:tcBorders/>
            <w:shd w:fill="CCEEFF" w:val="clear"/>
            <w:vAlign w:val="bottom"/>
          </w:tcPr>
          <w:p>
            <w:pPr>
              <w:pStyle w:val="TableContents"/>
              <w:bidi w:val="0"/>
              <w:spacing w:before="0" w:after="283"/>
              <w:jc w:val="left"/>
              <w:rPr/>
            </w:pPr>
            <w:r>
              <w:rPr/>
              <w:t> </w:t>
            </w:r>
          </w:p>
        </w:tc>
        <w:tc>
          <w:tcPr>
            <w:tcW w:w="104" w:type="dxa"/>
            <w:tcBorders/>
            <w:shd w:fill="CCEEFF" w:val="clear"/>
          </w:tcPr>
          <w:p>
            <w:pPr>
              <w:pStyle w:val="TableContents"/>
              <w:bidi w:val="0"/>
              <w:spacing w:before="0" w:after="283"/>
              <w:jc w:val="left"/>
              <w:rPr/>
            </w:pPr>
            <w:r>
              <w:rPr/>
              <w:t> </w:t>
            </w:r>
          </w:p>
        </w:tc>
        <w:tc>
          <w:tcPr>
            <w:tcW w:w="446" w:type="dxa"/>
            <w:tcBorders/>
            <w:shd w:fill="CCEEFF" w:val="clear"/>
          </w:tcPr>
          <w:p>
            <w:pPr>
              <w:pStyle w:val="TableContents"/>
              <w:bidi w:val="0"/>
              <w:spacing w:before="0" w:after="283"/>
              <w:jc w:val="right"/>
              <w:rPr/>
            </w:pPr>
            <w:r>
              <w:rPr/>
              <w:t>II</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66</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36" w:type="dxa"/>
            <w:tcBorders/>
            <w:shd w:fill="CCEEFF" w:val="clear"/>
          </w:tcPr>
          <w:p>
            <w:pPr>
              <w:pStyle w:val="TableContents"/>
              <w:bidi w:val="0"/>
              <w:spacing w:before="0" w:after="283"/>
              <w:jc w:val="center"/>
              <w:rPr/>
            </w:pPr>
            <w:r>
              <w:rPr/>
              <w:t>Director</w:t>
            </w:r>
          </w:p>
        </w:tc>
        <w:tc>
          <w:tcPr>
            <w:tcW w:w="160" w:type="dxa"/>
            <w:tcBorders/>
            <w:shd w:fill="CCEEFF" w:val="clear"/>
            <w:vAlign w:val="bottom"/>
          </w:tcPr>
          <w:p>
            <w:pPr>
              <w:pStyle w:val="TableContents"/>
              <w:bidi w:val="0"/>
              <w:spacing w:before="0" w:after="283"/>
              <w:jc w:val="left"/>
              <w:rPr/>
            </w:pPr>
            <w:r>
              <w:rPr/>
              <w:t> </w:t>
            </w:r>
          </w:p>
        </w:tc>
        <w:tc>
          <w:tcPr>
            <w:tcW w:w="107" w:type="dxa"/>
            <w:tcBorders/>
            <w:shd w:fill="CCEEFF" w:val="clear"/>
          </w:tcPr>
          <w:p>
            <w:pPr>
              <w:pStyle w:val="TableContents"/>
              <w:bidi w:val="0"/>
              <w:spacing w:before="0" w:after="283"/>
              <w:jc w:val="left"/>
              <w:rPr/>
            </w:pPr>
            <w:r>
              <w:rPr/>
              <w:t> </w:t>
            </w:r>
          </w:p>
        </w:tc>
        <w:tc>
          <w:tcPr>
            <w:tcW w:w="938" w:type="dxa"/>
            <w:tcBorders/>
            <w:shd w:fill="CCEEFF" w:val="clear"/>
          </w:tcPr>
          <w:p>
            <w:pPr>
              <w:pStyle w:val="TableContents"/>
              <w:bidi w:val="0"/>
              <w:spacing w:before="0" w:after="283"/>
              <w:jc w:val="right"/>
              <w:rPr/>
            </w:pPr>
            <w:r>
              <w:rPr/>
              <w:t>2024</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5" w:type="dxa"/>
            <w:tcBorders/>
            <w:shd w:fill="CCEEFF" w:val="clear"/>
          </w:tcPr>
          <w:p>
            <w:pPr>
              <w:pStyle w:val="TableContents"/>
              <w:bidi w:val="0"/>
              <w:spacing w:before="0" w:after="283"/>
              <w:jc w:val="left"/>
              <w:rPr/>
            </w:pPr>
            <w:r>
              <w:rPr/>
              <w:t> </w:t>
            </w:r>
          </w:p>
        </w:tc>
        <w:tc>
          <w:tcPr>
            <w:tcW w:w="1276" w:type="dxa"/>
            <w:tcBorders/>
            <w:shd w:fill="CCEEFF" w:val="clear"/>
          </w:tcPr>
          <w:p>
            <w:pPr>
              <w:pStyle w:val="TableContents"/>
              <w:bidi w:val="0"/>
              <w:spacing w:before="0" w:after="283"/>
              <w:jc w:val="right"/>
              <w:rPr/>
            </w:pPr>
            <w:r>
              <w:rPr/>
              <w:t>2026</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7" w:type="dxa"/>
            <w:tcBorders/>
            <w:shd w:fill="CCEEFF" w:val="clear"/>
          </w:tcPr>
          <w:p>
            <w:pPr>
              <w:pStyle w:val="TableContents"/>
              <w:bidi w:val="0"/>
              <w:spacing w:before="0" w:after="283"/>
              <w:jc w:val="left"/>
              <w:rPr>
                <w:sz w:val="4"/>
                <w:szCs w:val="4"/>
              </w:rPr>
            </w:pPr>
            <w:r>
              <w:rPr>
                <w:sz w:val="4"/>
                <w:szCs w:val="4"/>
              </w:rPr>
            </w:r>
          </w:p>
        </w:tc>
        <w:tc>
          <w:tcPr>
            <w:tcW w:w="1550" w:type="dxa"/>
            <w:tcBorders/>
            <w:shd w:fill="CCEEFF" w:val="clear"/>
          </w:tcPr>
          <w:p>
            <w:pPr>
              <w:pStyle w:val="TableContents"/>
              <w:bidi w:val="0"/>
              <w:spacing w:before="0" w:after="283"/>
              <w:jc w:val="left"/>
              <w:rPr>
                <w:sz w:val="4"/>
                <w:szCs w:val="4"/>
              </w:rPr>
            </w:pPr>
            <w:r>
              <w:rPr>
                <w:sz w:val="4"/>
                <w:szCs w:val="4"/>
              </w:rPr>
            </w:r>
          </w:p>
        </w:tc>
        <w:tc>
          <w:tcPr>
            <w:tcW w:w="69" w:type="dxa"/>
            <w:tcBorders/>
            <w:shd w:fill="CCEEFF" w:val="clear"/>
          </w:tcPr>
          <w:p>
            <w:pPr>
              <w:pStyle w:val="TableContents"/>
              <w:bidi w:val="0"/>
              <w:spacing w:before="0" w:after="283"/>
              <w:jc w:val="left"/>
              <w:rPr>
                <w:sz w:val="4"/>
                <w:szCs w:val="4"/>
              </w:rPr>
            </w:pPr>
            <w:r>
              <w:rPr>
                <w:sz w:val="4"/>
                <w:szCs w:val="4"/>
              </w:rPr>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Mary Kay Ladone</w:t>
            </w:r>
          </w:p>
        </w:tc>
        <w:tc>
          <w:tcPr>
            <w:tcW w:w="160" w:type="dxa"/>
            <w:tcBorders/>
            <w:vAlign w:val="bottom"/>
          </w:tcPr>
          <w:p>
            <w:pPr>
              <w:pStyle w:val="TableContents"/>
              <w:bidi w:val="0"/>
              <w:spacing w:before="0" w:after="283"/>
              <w:jc w:val="left"/>
              <w:rPr/>
            </w:pPr>
            <w:r>
              <w:rPr/>
              <w:t> </w:t>
            </w:r>
          </w:p>
        </w:tc>
        <w:tc>
          <w:tcPr>
            <w:tcW w:w="104" w:type="dxa"/>
            <w:tcBorders/>
          </w:tcPr>
          <w:p>
            <w:pPr>
              <w:pStyle w:val="TableContents"/>
              <w:bidi w:val="0"/>
              <w:spacing w:before="0" w:after="283"/>
              <w:jc w:val="left"/>
              <w:rPr/>
            </w:pPr>
            <w:r>
              <w:rPr/>
              <w:t> </w:t>
            </w:r>
          </w:p>
        </w:tc>
        <w:tc>
          <w:tcPr>
            <w:tcW w:w="446" w:type="dxa"/>
            <w:tcBorders/>
          </w:tcPr>
          <w:p>
            <w:pPr>
              <w:pStyle w:val="TableContents"/>
              <w:bidi w:val="0"/>
              <w:spacing w:before="0" w:after="283"/>
              <w:jc w:val="right"/>
              <w:rPr/>
            </w:pPr>
            <w:r>
              <w:rPr/>
              <w:t>III</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59</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36" w:type="dxa"/>
            <w:tcBorders/>
          </w:tcPr>
          <w:p>
            <w:pPr>
              <w:pStyle w:val="TableContents"/>
              <w:bidi w:val="0"/>
              <w:spacing w:before="0" w:after="283"/>
              <w:jc w:val="center"/>
              <w:rPr/>
            </w:pPr>
            <w:r>
              <w:rPr/>
              <w:t>Director</w:t>
            </w:r>
          </w:p>
        </w:tc>
        <w:tc>
          <w:tcPr>
            <w:tcW w:w="160" w:type="dxa"/>
            <w:tcBorders/>
            <w:vAlign w:val="bottom"/>
          </w:tcPr>
          <w:p>
            <w:pPr>
              <w:pStyle w:val="TableContents"/>
              <w:bidi w:val="0"/>
              <w:spacing w:before="0" w:after="283"/>
              <w:jc w:val="left"/>
              <w:rPr/>
            </w:pPr>
            <w:r>
              <w:rPr/>
              <w:t> </w:t>
            </w:r>
          </w:p>
        </w:tc>
        <w:tc>
          <w:tcPr>
            <w:tcW w:w="107" w:type="dxa"/>
            <w:tcBorders/>
          </w:tcPr>
          <w:p>
            <w:pPr>
              <w:pStyle w:val="TableContents"/>
              <w:bidi w:val="0"/>
              <w:spacing w:before="0" w:after="283"/>
              <w:jc w:val="left"/>
              <w:rPr/>
            </w:pPr>
            <w:r>
              <w:rPr/>
              <w:t> </w:t>
            </w:r>
          </w:p>
        </w:tc>
        <w:tc>
          <w:tcPr>
            <w:tcW w:w="938" w:type="dxa"/>
            <w:tcBorders/>
          </w:tcPr>
          <w:p>
            <w:pPr>
              <w:pStyle w:val="TableContents"/>
              <w:bidi w:val="0"/>
              <w:spacing w:before="0" w:after="283"/>
              <w:jc w:val="right"/>
              <w:rPr/>
            </w:pPr>
            <w:r>
              <w:rPr/>
              <w:t>2025</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5" w:type="dxa"/>
            <w:tcBorders/>
          </w:tcPr>
          <w:p>
            <w:pPr>
              <w:pStyle w:val="TableContents"/>
              <w:bidi w:val="0"/>
              <w:spacing w:before="0" w:after="283"/>
              <w:jc w:val="left"/>
              <w:rPr/>
            </w:pPr>
            <w:r>
              <w:rPr/>
              <w:t> </w:t>
            </w:r>
          </w:p>
        </w:tc>
        <w:tc>
          <w:tcPr>
            <w:tcW w:w="1276" w:type="dxa"/>
            <w:tcBorders/>
          </w:tcPr>
          <w:p>
            <w:pPr>
              <w:pStyle w:val="TableContents"/>
              <w:bidi w:val="0"/>
              <w:spacing w:before="0" w:after="283"/>
              <w:jc w:val="right"/>
              <w:rPr/>
            </w:pPr>
            <w:r>
              <w:rPr/>
              <w:t>2027</w:t>
            </w:r>
          </w:p>
        </w:tc>
        <w:tc>
          <w:tcPr>
            <w:tcW w:w="60" w:type="dxa"/>
            <w:tcBorders/>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7" w:type="dxa"/>
            <w:tcBorders/>
          </w:tcPr>
          <w:p>
            <w:pPr>
              <w:pStyle w:val="TableContents"/>
              <w:bidi w:val="0"/>
              <w:spacing w:before="0" w:after="283"/>
              <w:jc w:val="left"/>
              <w:rPr>
                <w:sz w:val="4"/>
                <w:szCs w:val="4"/>
              </w:rPr>
            </w:pPr>
            <w:r>
              <w:rPr>
                <w:sz w:val="4"/>
                <w:szCs w:val="4"/>
              </w:rPr>
            </w:r>
          </w:p>
        </w:tc>
        <w:tc>
          <w:tcPr>
            <w:tcW w:w="1550"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Reilly</w:t>
            </w:r>
          </w:p>
        </w:tc>
        <w:tc>
          <w:tcPr>
            <w:tcW w:w="160" w:type="dxa"/>
            <w:tcBorders/>
            <w:shd w:fill="CCEEFF" w:val="clear"/>
            <w:vAlign w:val="bottom"/>
          </w:tcPr>
          <w:p>
            <w:pPr>
              <w:pStyle w:val="TableContents"/>
              <w:bidi w:val="0"/>
              <w:spacing w:before="0" w:after="283"/>
              <w:jc w:val="left"/>
              <w:rPr/>
            </w:pPr>
            <w:r>
              <w:rPr/>
              <w:t> </w:t>
            </w:r>
          </w:p>
        </w:tc>
        <w:tc>
          <w:tcPr>
            <w:tcW w:w="104" w:type="dxa"/>
            <w:tcBorders/>
            <w:shd w:fill="CCEEFF" w:val="clear"/>
          </w:tcPr>
          <w:p>
            <w:pPr>
              <w:pStyle w:val="TableContents"/>
              <w:bidi w:val="0"/>
              <w:spacing w:before="0" w:after="283"/>
              <w:jc w:val="left"/>
              <w:rPr/>
            </w:pPr>
            <w:r>
              <w:rPr/>
              <w:t> </w:t>
            </w:r>
          </w:p>
        </w:tc>
        <w:tc>
          <w:tcPr>
            <w:tcW w:w="446" w:type="dxa"/>
            <w:tcBorders/>
            <w:shd w:fill="CCEEFF" w:val="clear"/>
          </w:tcPr>
          <w:p>
            <w:pPr>
              <w:pStyle w:val="TableContents"/>
              <w:bidi w:val="0"/>
              <w:spacing w:before="0" w:after="283"/>
              <w:jc w:val="right"/>
              <w:rPr/>
            </w:pPr>
            <w:r>
              <w:rPr/>
              <w:t>II</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35</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36" w:type="dxa"/>
            <w:tcBorders/>
            <w:shd w:fill="CCEEFF" w:val="clear"/>
          </w:tcPr>
          <w:p>
            <w:pPr>
              <w:pStyle w:val="TableContents"/>
              <w:bidi w:val="0"/>
              <w:spacing w:before="0" w:after="283"/>
              <w:jc w:val="center"/>
              <w:rPr/>
            </w:pPr>
            <w:r>
              <w:rPr/>
              <w:t>Director</w:t>
            </w:r>
          </w:p>
        </w:tc>
        <w:tc>
          <w:tcPr>
            <w:tcW w:w="160" w:type="dxa"/>
            <w:tcBorders/>
            <w:shd w:fill="CCEEFF" w:val="clear"/>
            <w:vAlign w:val="bottom"/>
          </w:tcPr>
          <w:p>
            <w:pPr>
              <w:pStyle w:val="TableContents"/>
              <w:bidi w:val="0"/>
              <w:spacing w:before="0" w:after="283"/>
              <w:jc w:val="left"/>
              <w:rPr/>
            </w:pPr>
            <w:r>
              <w:rPr/>
              <w:t> </w:t>
            </w:r>
          </w:p>
        </w:tc>
        <w:tc>
          <w:tcPr>
            <w:tcW w:w="107" w:type="dxa"/>
            <w:tcBorders/>
            <w:shd w:fill="CCEEFF" w:val="clear"/>
          </w:tcPr>
          <w:p>
            <w:pPr>
              <w:pStyle w:val="TableContents"/>
              <w:bidi w:val="0"/>
              <w:spacing w:before="0" w:after="283"/>
              <w:jc w:val="left"/>
              <w:rPr/>
            </w:pPr>
            <w:r>
              <w:rPr/>
              <w:t> </w:t>
            </w:r>
          </w:p>
        </w:tc>
        <w:tc>
          <w:tcPr>
            <w:tcW w:w="938" w:type="dxa"/>
            <w:tcBorders/>
            <w:shd w:fill="CCEEFF" w:val="clear"/>
          </w:tcPr>
          <w:p>
            <w:pPr>
              <w:pStyle w:val="TableContents"/>
              <w:bidi w:val="0"/>
              <w:spacing w:before="0" w:after="283"/>
              <w:jc w:val="right"/>
              <w:rPr/>
            </w:pPr>
            <w:r>
              <w:rPr/>
              <w:t>2024</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5" w:type="dxa"/>
            <w:tcBorders/>
            <w:shd w:fill="CCEEFF" w:val="clear"/>
          </w:tcPr>
          <w:p>
            <w:pPr>
              <w:pStyle w:val="TableContents"/>
              <w:bidi w:val="0"/>
              <w:spacing w:before="0" w:after="283"/>
              <w:jc w:val="left"/>
              <w:rPr/>
            </w:pPr>
            <w:r>
              <w:rPr/>
              <w:t> </w:t>
            </w:r>
          </w:p>
        </w:tc>
        <w:tc>
          <w:tcPr>
            <w:tcW w:w="1276" w:type="dxa"/>
            <w:tcBorders/>
            <w:shd w:fill="CCEEFF" w:val="clear"/>
          </w:tcPr>
          <w:p>
            <w:pPr>
              <w:pStyle w:val="TableContents"/>
              <w:bidi w:val="0"/>
              <w:spacing w:before="0" w:after="283"/>
              <w:jc w:val="right"/>
              <w:rPr/>
            </w:pPr>
            <w:r>
              <w:rPr/>
              <w:t>2026</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7" w:type="dxa"/>
            <w:tcBorders/>
            <w:shd w:fill="CCEEFF" w:val="clear"/>
          </w:tcPr>
          <w:p>
            <w:pPr>
              <w:pStyle w:val="TableContents"/>
              <w:bidi w:val="0"/>
              <w:spacing w:before="0" w:after="283"/>
              <w:jc w:val="left"/>
              <w:rPr>
                <w:sz w:val="4"/>
                <w:szCs w:val="4"/>
              </w:rPr>
            </w:pPr>
            <w:r>
              <w:rPr>
                <w:sz w:val="4"/>
                <w:szCs w:val="4"/>
              </w:rPr>
            </w:r>
          </w:p>
        </w:tc>
        <w:tc>
          <w:tcPr>
            <w:tcW w:w="1550" w:type="dxa"/>
            <w:tcBorders/>
            <w:shd w:fill="CCEEFF" w:val="clear"/>
          </w:tcPr>
          <w:p>
            <w:pPr>
              <w:pStyle w:val="TableContents"/>
              <w:bidi w:val="0"/>
              <w:spacing w:before="0" w:after="283"/>
              <w:jc w:val="left"/>
              <w:rPr>
                <w:sz w:val="4"/>
                <w:szCs w:val="4"/>
              </w:rPr>
            </w:pPr>
            <w:r>
              <w:rPr>
                <w:sz w:val="4"/>
                <w:szCs w:val="4"/>
              </w:rPr>
            </w:r>
          </w:p>
        </w:tc>
        <w:tc>
          <w:tcPr>
            <w:tcW w:w="69"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CEO: Chief Executive Officer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GC: General Counsel, CAO: Chief Administrative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recommendation of our nominating and corporate governance committee, the Board has nominated for re-election Conor Hanley and nominated Dr. Elizabeth Kwo to serve as Class I directors until the 2028 annual meeting of shareholders or until their successors are duly elected and qualified. Mr. Hanley and Dr. Kwo have agreed to serve if elected, and there is no reason to believe that Mr. Hanley or Dr. Kwo will be unable to serve. </w:t>
      </w:r>
    </w:p>
    <w:p>
      <w:pPr>
        <w:pStyle w:val="TextBody"/>
        <w:bidi w:val="0"/>
        <w:spacing w:before="240" w:after="0"/>
        <w:jc w:val="left"/>
        <w:rPr>
          <w:rFonts w:ascii="Times New Roman" w:hAnsi="Times New Roman"/>
          <w:sz w:val="20"/>
        </w:rPr>
      </w:pPr>
      <w:r>
        <w:rPr>
          <w:rFonts w:ascii="Times New Roman" w:hAnsi="Times New Roman"/>
          <w:sz w:val="20"/>
        </w:rPr>
        <w:t xml:space="preserve">Shares represented by executed proxies will be voted, if authority to do so is not withheld, for the election of Mr. Hanley and Dr. Kwo. In the event that any nominee should be unavailable for election as a result of an unexpected occurrence, such shares will be voted for the election of such substitute nominee as the Board may propose. </w:t>
      </w:r>
    </w:p>
    <w:p>
      <w:pPr>
        <w:pStyle w:val="TextBody"/>
        <w:bidi w:val="0"/>
        <w:spacing w:before="240" w:after="0"/>
        <w:jc w:val="left"/>
        <w:rPr>
          <w:rFonts w:ascii="Times New Roman" w:hAnsi="Times New Roman"/>
          <w:sz w:val="20"/>
        </w:rPr>
      </w:pPr>
      <w:r>
        <w:rPr>
          <w:rFonts w:ascii="Times New Roman" w:hAnsi="Times New Roman"/>
          <w:sz w:val="20"/>
        </w:rPr>
        <w:t xml:space="preserve">It was mutually agreed that Toby AuWerter, Maxwell Bikoff and Christopher Gordon will not stand for re-election upon the expiration of their terms at the Annual Meeting. We extend our sincere gratitude to Messrs. AuWerter, Bikoff and Gordon for their outstanding contributions to the Board and we wish them continued success in their future endeavors.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upon the expiration of the terms of Messrs. AuWerter, Bikoff and Gordon at the Annual Meeting, we expect that the Board will vote to reduce the size of the Board to eliminate any vacancies. </w:t>
      </w:r>
    </w:p>
    <w:p>
      <w:pPr>
        <w:pStyle w:val="TextBody"/>
        <w:bidi w:val="0"/>
        <w:spacing w:before="360" w:after="0"/>
        <w:jc w:val="left"/>
        <w:rPr>
          <w:rFonts w:ascii="Times New Roman" w:hAnsi="Times New Roman"/>
          <w:b/>
          <w:sz w:val="20"/>
        </w:rPr>
      </w:pPr>
      <w:r>
        <w:rPr>
          <w:rFonts w:ascii="Times New Roman" w:hAnsi="Times New Roman"/>
          <w:b/>
          <w:sz w:val="20"/>
        </w:rPr>
        <w:t xml:space="preserve">Nominees for Election to the Board in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information describes the offices held, other business directorships and the term of service of each director nominee, as well as the experiences, qualifications, attributes or skills that caused the nominating and corporate governance committee and the Board to determine that the director nominee should serve as a director. Beneficial ownership of equity securities for these director nominees is shown under Security Ownership of Certain Beneficial Owners and Management below. </w:t>
      </w:r>
    </w:p>
    <w:p>
      <w:pPr>
        <w:pStyle w:val="TextBody"/>
        <w:bidi w:val="0"/>
        <w:spacing w:before="360" w:after="0"/>
        <w:jc w:val="left"/>
        <w:rPr>
          <w:rFonts w:ascii="Times New Roman" w:hAnsi="Times New Roman"/>
          <w:i/>
          <w:sz w:val="20"/>
        </w:rPr>
      </w:pPr>
      <w:r>
        <w:rPr>
          <w:rFonts w:ascii="Times New Roman" w:hAnsi="Times New Roman"/>
          <w:i/>
          <w:sz w:val="20"/>
        </w:rPr>
        <w:t xml:space="preserve">Class I Director Nominees to Serve for a Three-Year Term Expiring at the 2028 Annual Meeting. </w:t>
      </w:r>
    </w:p>
    <w:p>
      <w:pPr>
        <w:pStyle w:val="TextBody"/>
        <w:bidi w:val="0"/>
        <w:spacing w:before="120" w:after="0"/>
        <w:jc w:val="left"/>
        <w:rPr>
          <w:rFonts w:ascii="Times New Roman" w:hAnsi="Times New Roman"/>
          <w:sz w:val="20"/>
        </w:rPr>
      </w:pPr>
      <w:r>
        <w:rPr>
          <w:rFonts w:ascii="Times New Roman" w:hAnsi="Times New Roman"/>
          <w:b/>
          <w:sz w:val="20"/>
        </w:rPr>
        <w:t>Conor Hanley</w:t>
      </w:r>
      <w:r>
        <w:rPr>
          <w:rFonts w:ascii="Times New Roman" w:hAnsi="Times New Roman"/>
          <w:sz w:val="20"/>
        </w:rPr>
        <w:t xml:space="preserve"> has served as a member of our Board since 2025 and is also anticipated to be a member of our audit committee following the Annual Meeting. Mr. Hanley currently serves as the Chief Executive Officer of Foundry Innovation &amp; Research 1, Ltd. (FIRE1). Mr. Hanley brings nearly a decade of distinguished experience in the medical technology industry, with a proven track record of leadership and innovation. Since 2016, he has been an integral member of FIRE1s executive team, where he has played a critical role in advancing the companys mission to revolutionize heart failure management. Mr. Hanley previously worked with ResMed Inc. (ResMed) where he held senior management positions including leading up Chronic Disease management solutions globally, the global Cardiology business unit and the Ventures and Initiatives global business unit for corporate investments and accelerating new business. Prior to ResMed, Conor was Chief Executive Officer and Co-Founder of BiancaMed, Inc., which was acquired by ResMed in 2011. Over 7 years, he led a team that grew the company through three rounds of venture funding from top-tier international venture funds, launching products in Japan and USA (selling major retailers, including the Apple store) and building the supply chain with mass production in China. Mr. Hanley was awarded a PhD in Chemical Engineering from the University of Pennsylvania, an MBA from INSEAD and a BEng from University College Dublin. Mr. Hanley completed the Leadership4Growth program at Stanford University and is qualified Chartered director from the Institute of Directors, UK. We believe that Mr. Hanley is qualified to serve on our Board due to his industry expertise, strategic vision, and commitment to patient-centered innovation. </w:t>
      </w:r>
    </w:p>
    <w:p>
      <w:pPr>
        <w:pStyle w:val="TextBody"/>
        <w:bidi w:val="0"/>
        <w:spacing w:before="240" w:after="0"/>
        <w:jc w:val="left"/>
        <w:rPr>
          <w:rFonts w:ascii="Times New Roman" w:hAnsi="Times New Roman"/>
          <w:sz w:val="20"/>
        </w:rPr>
      </w:pPr>
      <w:r>
        <w:rPr>
          <w:rFonts w:ascii="Times New Roman" w:hAnsi="Times New Roman"/>
          <w:b/>
          <w:sz w:val="20"/>
        </w:rPr>
        <w:t>Elizabeth Kwo</w:t>
      </w:r>
      <w:r>
        <w:rPr>
          <w:rFonts w:ascii="Times New Roman" w:hAnsi="Times New Roman"/>
          <w:sz w:val="20"/>
        </w:rPr>
        <w:t xml:space="preserve"> is a director nominee that will join our Board and will also be a member of our nominating and corporate governance committee if elected at the Annual Meeting. Dr. Kwo currently serves as the Chief Commercial Officer of Everly Health, Inc. Dr. Kwo has over 15 years of experience as a physician, healthcare executive, entrepreneur and board leader, with a proven track record of scaling digital health platforms and implementing data-driven innovations to improve patient outcomes and reduce costs. Dr. Kwo served as Deputy Chief Clinical Officer at Elevance Health, Inc. from 2020 to 2022. Prior to Elevance Health, Inc., Dr. Kwo was the Chief Executive Officer and Co-Founder of InfiniteMD, LLC, which was acquired by ConsumerMedical, an Alight Solutions LLC company, in 2020. Dr. Kwo is Board Certified in Preventive Care and Occupational Medicine and remains active as a practicing physician at Cambridge Health Alliance, of Harvard Medical School. Dr. Kwo received her M.P.H. from Harvard TH Chan School of Public Health, her M.D. from Harvard Medical School and her M.B.A. from Harvard Business School. She received her undergraduate degree, a Bachelor of Arts in human biology, from Stanford University. We believe that Dr. Kwo is qualified to serve on our Board due to her experience as a co-founder and her medical and scientific background and training.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A VOTE FOR THE ELECTION OF EACH OF THE DIRECTOR NOMINEES NAMED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Continuing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information describes the offices held, other business directorships,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Security Ownership of Certain Beneficial Owners and Management below. </w:t>
      </w:r>
    </w:p>
    <w:p>
      <w:pPr>
        <w:pStyle w:val="TextBody"/>
        <w:bidi w:val="0"/>
        <w:spacing w:before="360" w:after="0"/>
        <w:jc w:val="left"/>
        <w:rPr>
          <w:rFonts w:ascii="Times New Roman" w:hAnsi="Times New Roman"/>
          <w:i/>
          <w:sz w:val="20"/>
        </w:rPr>
      </w:pPr>
      <w:r>
        <w:rPr>
          <w:rFonts w:ascii="Times New Roman" w:hAnsi="Times New Roman"/>
          <w:i/>
          <w:sz w:val="20"/>
        </w:rPr>
        <w:t xml:space="preserve">Class II Directors (terms expiring at the 2026 Annual Meeting) </w:t>
      </w:r>
    </w:p>
    <w:p>
      <w:pPr>
        <w:pStyle w:val="TextBody"/>
        <w:bidi w:val="0"/>
        <w:spacing w:before="120" w:after="0"/>
        <w:jc w:val="left"/>
        <w:rPr>
          <w:rFonts w:ascii="Times New Roman" w:hAnsi="Times New Roman"/>
          <w:sz w:val="20"/>
        </w:rPr>
      </w:pPr>
      <w:r>
        <w:rPr>
          <w:rFonts w:ascii="Times New Roman" w:hAnsi="Times New Roman"/>
          <w:b/>
          <w:sz w:val="20"/>
        </w:rPr>
        <w:t xml:space="preserve">Raymond W. Cohen </w:t>
      </w:r>
      <w:r>
        <w:rPr>
          <w:rFonts w:ascii="Times New Roman" w:hAnsi="Times New Roman"/>
          <w:sz w:val="20"/>
        </w:rPr>
        <w:t xml:space="preserve">has been a member of our Board since 2025 and is also a member of our audit committee and the chair of our compensation committee. Additionally, Mr. Cohen was a member of the board of directors of our subsidiary, Kestra Medical Technologies, Inc., from 2024 to 2025. Prior to joining Kestra as a director, from 2013 to late 2024, Mr. Cohen served as the Chief Executive Officer and a member of the board of directors of Axonics, Inc. (Nasdaq: AXNX), a medical device company with implantable technologies to treat bladder and bowel disorders, which was sold to Boston Scientific Corporation (NYSE: BSX) in November 2024. From 2023 to 2025, Mr. Cohen served as the chairman of the board of directors of SoniVie Ltd until it was acquired by Boston Scientific Corporation in March 2025. Mr. Cohen currently serves as chairman of the boards of directors of the privately held companies Nalu Medical Inc. and Archimedes Vascular, vice chairman of the board of directors of the privately held company Tulavi Medical, and a member of the board of directors of the private equity sponsor-backed company Spectrum Vascular. Previously, Mr. Cohen served as chairman of the board of directors of BioLife Solutions Inc. (Nasdaq: BLFS) and as a director of Spectrum Pharmaceuticals Inc. (Nasdaq: SPPI). Mr. Cohen received his B.S. in Business Management from Binghamton University. We believe Mr. Cohen is qualified to serve on our Board of Directors based on his management experience. </w:t>
      </w:r>
    </w:p>
    <w:p>
      <w:pPr>
        <w:pStyle w:val="TextBody"/>
        <w:bidi w:val="0"/>
        <w:spacing w:before="240" w:after="0"/>
        <w:jc w:val="left"/>
        <w:rPr>
          <w:rFonts w:ascii="Times New Roman" w:hAnsi="Times New Roman"/>
          <w:sz w:val="20"/>
        </w:rPr>
      </w:pPr>
      <w:r>
        <w:rPr>
          <w:rFonts w:ascii="Times New Roman" w:hAnsi="Times New Roman"/>
          <w:b/>
          <w:sz w:val="20"/>
        </w:rPr>
        <w:t>Kevin Reilly</w:t>
      </w:r>
      <w:r>
        <w:rPr>
          <w:rFonts w:ascii="Times New Roman" w:hAnsi="Times New Roman"/>
          <w:sz w:val="20"/>
        </w:rPr>
        <w:t xml:space="preserve"> has been a member of our Board since 2025 and is also a member of our compensation committee. Additionally, Mr. Reilly was a member of the board of directors of our subsidiary, Kestra Medical Technologies, Inc., from 2024 to 2025. Mr. Reilly brings extensive expertise in healthcare investment and management to our Board. Mr. Reilly joined Ally Bridge Group in 2021 and since 2021, has been a managing director and head of medtech for the private equity strategy focused on transactions across healthcare subsectors. Before joining Ally Bridge Group, from 2014 to 2021, Mr. Reilly was a principal at CRG, a healthcare investment management firm providing growth capital to companies through the form of long-term debt and equity. Mr. Reilly began his career in the Healthcare Investment Banking Group at Stifel. Mr. Reilly holds a B.S. in Finance and Information Systems from the University of Maryland. We believe Mr. Reilly is qualified to serve on our Board of Directors based on his experience investing in healthcare companies and prior experience as a director of a number of healthcare companies. </w:t>
      </w:r>
    </w:p>
    <w:p>
      <w:pPr>
        <w:pStyle w:val="TextBody"/>
        <w:bidi w:val="0"/>
        <w:spacing w:before="240" w:after="0"/>
        <w:jc w:val="left"/>
        <w:rPr>
          <w:rFonts w:ascii="Times New Roman" w:hAnsi="Times New Roman"/>
          <w:sz w:val="20"/>
        </w:rPr>
      </w:pPr>
      <w:r>
        <w:rPr>
          <w:rFonts w:ascii="Times New Roman" w:hAnsi="Times New Roman"/>
          <w:b/>
          <w:sz w:val="20"/>
        </w:rPr>
        <w:t xml:space="preserve">Traci S. Umberger </w:t>
      </w:r>
      <w:r>
        <w:rPr>
          <w:rFonts w:ascii="Times New Roman" w:hAnsi="Times New Roman"/>
          <w:sz w:val="20"/>
        </w:rPr>
        <w:t xml:space="preserve">is our Co-Founder, General Counsel and Chief Administrative Officer and is a member of our Board. Ms. Umberger has served in these roles at Kestra Medical Technologies, Ltd. since 2021 and at Kestra Medical Technologies, Inc. since 2016. Ms. Umberger has over 34 years of life sciences representation, including 10 years as General Counsel and Chief Administrative Officer at Physio-Control, Inc. Ms. Umberger is a co-founder of our company and has been building the company since 2014, when the predecessor company Physio-Control Development Corporation became fully independent from Physio Control Inc. following its acquisition by Bain Capital, LLC in 2012. Ms. Umberger currently has responsibility for the companys Legal, Compliance, and Human Resources functions. Previously, Ms. Umberger practiced in the areas of commercial and healthcare litigation, representing physicians and hospitals. Ms. Umberger received her Bachelor of Arts in Psychology/English from the University of British Columbia and her J.D. from the University of British Columbia. We believe Ms. Umberger is qualified to serve on our Board based on her extensive legal career to date and knowledge of our company through her role as our General Counsel and Chief Administrative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Class III Directors (terms expiring at the 2027Annual Meeting) </w:t>
      </w:r>
    </w:p>
    <w:p>
      <w:pPr>
        <w:pStyle w:val="TextBody"/>
        <w:bidi w:val="0"/>
        <w:spacing w:before="120" w:after="0"/>
        <w:jc w:val="left"/>
        <w:rPr>
          <w:rFonts w:ascii="Times New Roman" w:hAnsi="Times New Roman"/>
          <w:sz w:val="20"/>
        </w:rPr>
      </w:pPr>
      <w:r>
        <w:rPr>
          <w:rFonts w:ascii="Times New Roman" w:hAnsi="Times New Roman"/>
          <w:b/>
          <w:sz w:val="20"/>
        </w:rPr>
        <w:t>Mary Kay Ladone</w:t>
      </w:r>
      <w:r>
        <w:rPr>
          <w:rFonts w:ascii="Times New Roman" w:hAnsi="Times New Roman"/>
          <w:sz w:val="20"/>
        </w:rPr>
        <w:t xml:space="preserve"> has been a member of our Board since 2025 and is also the chair of our audit committee and a member of our nominating and corporate governance committee. Additionally, Ms. Ladone was a member of the board of directors of our subsidiary, Kestra Medical Technologies, Inc., from 2022 to 2025. Ms. Ladone is an accomplished executive with over 35 years of experience serving large global healthcare companies. Ms. Ladone served as senior vice president of corporate development, strategy and investor relations at Hill-Rom Holdings, Inc. from 2018 to 2022, and vice president of investor relations at Hillrom from 2016 to 2018. Prior to Hillrom, Ms. Ladone served as senior vice president and corporate officer, investor relations of Baxalta, Inc., a global biopharmaceutical company, from 2015 to 2016. Ms. Ladone began her career in finance at Baxter International, Inc., and from 1988 to 2015 served in several progressive financial, operational and communication roles at Baxter International, Inc.. Ms. Ladone currently serves on the board of directors of Novanta Inc., Bioventus LLC and Inogen, Inc. Ms. Ladone received her B.B.A. degree in Finance and Business Economics, cum laude, from the University of Notre Dame. We believe Ms. Ladone is qualified to serve on our Board based on her extensive experience working with large global healthcare companies. </w:t>
      </w:r>
    </w:p>
    <w:p>
      <w:pPr>
        <w:pStyle w:val="TextBody"/>
        <w:bidi w:val="0"/>
        <w:spacing w:before="240" w:after="0"/>
        <w:jc w:val="left"/>
        <w:rPr>
          <w:rFonts w:ascii="Times New Roman" w:hAnsi="Times New Roman"/>
          <w:sz w:val="20"/>
        </w:rPr>
      </w:pPr>
      <w:r>
        <w:rPr>
          <w:rFonts w:ascii="Times New Roman" w:hAnsi="Times New Roman"/>
          <w:b/>
          <w:sz w:val="20"/>
        </w:rPr>
        <w:t xml:space="preserve">Brian Webster </w:t>
      </w:r>
      <w:r>
        <w:rPr>
          <w:rFonts w:ascii="Times New Roman" w:hAnsi="Times New Roman"/>
          <w:sz w:val="20"/>
        </w:rPr>
        <w:t xml:space="preserve">is our Founder, President and Chief Executive Officer and is a member of our Board. Mr. Webster has served in these roles at Kestra Medical Technologies, Ltd. since 2021 and at Kestra Medical Technologies, Inc. since 2016. Mr. Webster has over 32 years in the medical device industry, including 10 years as President and Chief Executive Officer of Physio-Control, Inc. Mr. Webster is a founder of our company and has been building the company as Chief Executive Officer since 2014, when the predecessor company Physio-Control Development Corporation became fully independent from Physio Control Inc., following its acquisition by Bain Capital, LLC in 2012. Mr. Webster previously held executive positions including vice president roles in operations, sales, and marketing at Physio-Control. Mr. Webster brings broad knowledge of emergency medicine, the cardiac field, and the external defibrillation industry. Mr. Webster received his Bachelor of Arts in Business from the University of Puget Sound and his M.B.A. from Seattle University. We believe Mr. Webster is qualified to serve on our Board due to his more than 32 years of leadership experience in the medical device industry, including his pivotal role as founder and Chief Executive Officer in building Kestra Medical Technologies, Ltd. </w:t>
      </w:r>
    </w:p>
    <w:p>
      <w:pPr>
        <w:pStyle w:val="TextBody"/>
        <w:bidi w:val="0"/>
        <w:spacing w:before="240" w:after="0"/>
        <w:jc w:val="left"/>
        <w:rPr>
          <w:rFonts w:ascii="Times New Roman" w:hAnsi="Times New Roman"/>
          <w:sz w:val="20"/>
        </w:rPr>
      </w:pPr>
      <w:r>
        <w:rPr>
          <w:rFonts w:ascii="Times New Roman" w:hAnsi="Times New Roman"/>
          <w:b/>
          <w:sz w:val="20"/>
        </w:rPr>
        <w:t xml:space="preserve">Jeffrey Schwartz </w:t>
      </w:r>
      <w:r>
        <w:rPr>
          <w:rFonts w:ascii="Times New Roman" w:hAnsi="Times New Roman"/>
          <w:sz w:val="20"/>
        </w:rPr>
        <w:t xml:space="preserve">is a member of our Board and has served in such role since 2023. He is also the chairman of our Board, a member of our compensation committee and the chair of our nominating and corporate governance committee. Mr. Schwartz joined Bain Capital in 2004 and is the Chief Operating Officer of Bain Capitals Global Private Equity business. Prior to his current role, Mr. Schwartz co-founded and was a partner of its Life Sciences team from 2016 to2024. Prior to that, Mr. Schwartz was a member of Bain Capitals Private Equity team from 2004 to 2016, where he focused on healthcare investments. Mr. Schwartz previously served as an equity research analyst at Lehman Brothers, where he was focused on the aerospace and defense industries working in both New York and London. Mr. Schwartz has over 20 years of investing experience. Mr. Schwartz currently serves on the board of directors of Rapid Micro Biosystems, Inc. (Nasdaq: RPID). Mr. Schwartz previously served on the board of directors of BCLS Acquisition Corp. (a special purpose acquisition company) and SpringWorks Therapeutics, Inc. (Nasdaq: SWTX). Mr. Schwartz graduated from Yale University where he majored in economics and received his M.B.A. from The Wharton School at the University of Pennsylvania, where he was a Palmer Scholar. We believe Mr. Schwartz is qualified to serve on our Board based on his experience in advising and supporting the growth and development of companies in the healthcare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78457_4"/>
      <w:bookmarkEnd w:id="6"/>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Code of Conduct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Code of Conduct (the Code of Conduct) that applies to all our officers, directors and employees, including our executive and senior financial officers. The Code of Conduct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the nature of any substantive amendment to our Code of Conduct that applies to our principal executive officer, principal financial officer, principal accounting officer or controller or persons performing similar functions, and the nature of any waiver, including an implicit waiver, from a provision of our Code of Conduct that is granted to one of these specified officers, the name of such person who is granted the waiver and the date of the waiver on our website or in filings under the Exchange Act in the future. A copy of our Code of Conduct is available on our website at https://investors.kestramedical.com/corporate-governance/document-charters. Reference to our website does not constitute incorporation by reference of the information contained at or available through our website into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Our Board has adopted Corporate Governance Guidelines as a general framework to assist the Board in carrying out its responsibility for the business and affairs of our Company. The Corporate Governance Guidelines are also intended to align the interests of directors with those of our shareholders. The Corporate Governance Guidelines set forth the practices our Board follows with respect to, among other things, the role of the Board, the composition of the Board, the structure and operations of the Board, the duties and responsibilities of directors and succession planning. A copy of our Corporate Governance Guidelines is available on our website at https://investors.kestramedical.com/corporate-governance/document-charters. </w:t>
      </w:r>
    </w:p>
    <w:p>
      <w:pPr>
        <w:pStyle w:val="TextBody"/>
        <w:bidi w:val="0"/>
        <w:spacing w:before="360" w:after="0"/>
        <w:jc w:val="left"/>
        <w:rPr>
          <w:rFonts w:ascii="Times New Roman" w:hAnsi="Times New Roman"/>
          <w:b/>
          <w:sz w:val="20"/>
        </w:rPr>
      </w:pPr>
      <w:r>
        <w:rPr>
          <w:rFonts w:ascii="Times New Roman" w:hAnsi="Times New Roman"/>
          <w:b/>
          <w:sz w:val="20"/>
        </w:rPr>
        <w:t xml:space="preserve">Independence of the Board </w:t>
      </w:r>
    </w:p>
    <w:p>
      <w:pPr>
        <w:pStyle w:val="TextBody"/>
        <w:bidi w:val="0"/>
        <w:spacing w:before="120" w:after="0"/>
        <w:jc w:val="left"/>
        <w:rPr>
          <w:rFonts w:ascii="Times New Roman" w:hAnsi="Times New Roman"/>
          <w:sz w:val="20"/>
        </w:rPr>
      </w:pPr>
      <w:r>
        <w:rPr>
          <w:rFonts w:ascii="Times New Roman" w:hAnsi="Times New Roman"/>
          <w:sz w:val="20"/>
        </w:rPr>
        <w:t xml:space="preserve">For a director to be independent, our Board must affirmatively determine that such director does not have any direct or indirect material relationship with our Company. In making these determinations, our Board reviews and discusses information provided by the directors and us with regards to each directors business and personal activities and current and prior relationships, including personal relationships, as they may relate to us and our management. Our Board also consults with our Companys counsel to ensure that the Boards determinations are consistent with all relevant securities and other laws and regulations regarding the definition of independent, including those set forth in pertinent Nasdaq listing standards,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these considerations, our Board has determined that all of our directors, other than Mr. Webster and Ms. Umberger, qualify as independent directors in accordance with the Nasdaq listing standards. Mr. Webster is not considered independent due to his position as our President and Chief Executive Officer. Ms. Umberger is not considered independent due to her role as our General Counsel and Chief Administrative Officer. 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Nasdaq rules, our Board has made a subjective determination as to each independent director that no relationship exists,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There are no current family relationships among any of our directors or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required under Nasdaq rules and regulations, our independent directors meet in regularly scheduled executive sessions at which only independent directors are present. Each of the audit committee, compensation committee, and nominating and corporate governance committee of our Board is comprised entirely of directors determined by the Board to be independent within the meaning of Nasdaq and SEC rules and regulations applicable to the members of such committees. </w:t>
      </w:r>
    </w:p>
    <w:p>
      <w:pPr>
        <w:pStyle w:val="TextBody"/>
        <w:bidi w:val="0"/>
        <w:spacing w:before="360" w:after="0"/>
        <w:jc w:val="left"/>
        <w:rPr>
          <w:rFonts w:ascii="Times New Roman" w:hAnsi="Times New Roman"/>
          <w:b/>
          <w:sz w:val="20"/>
        </w:rPr>
      </w:pPr>
      <w:r>
        <w:rPr>
          <w:rFonts w:ascii="Times New Roman" w:hAnsi="Times New Roman"/>
          <w:b/>
          <w:sz w:val="20"/>
        </w:rPr>
        <w:t xml:space="preserve">Leadership Structure of the Board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Our Board is currently led by Mr. Schwartz, who serves as the chairman of our Board. In that role, Mr. Schwartz presides over all meetings of our Board, including any executive sessions of the independent directors of our Board, approves Board meeting schedules and agendas, and acts as the liaison between the independent directors of our Board and our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corporate governance guidelines, our Board conducts annual assessments of its leadership structure to determine whether it is the most appropriate for our Company, taking into account the recommendations of the nominating and corporate governance committee. Our Board has concluded that our leadership structure is appropriate at this time because it facilitates effective oversight and further strengthens the Boards independent leadership and commitment to sound governance. This also allows our Chief Executive Officer to focus on the day-to-day business of Kestra, while allowing the chair of the Board to lead our Board in its oversight of management. However, our Board will continue to periodically review our leadership structure and may make such changes in the future as it deems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in Risk Oversight Process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day-to-day management of risks our Company faces. Our full Board has ultimate oversight responsibility for the risk management process, and, through its committees, oversees risk in certain specified areas. In particular, our audit committee oversees management of enterprise risks as well as financial risks and is responsible for overseeing the review and approval of related party transactions. Our compensation committee is responsible for overseeing the management of risks relating to our executive compensation plans and arrangements and the incentives created by the compensation awards it administers. Our nominating and corporate governance committee oversees risks associated with corporate governance, business conduct and ethics. Pursuant to our Boards instruction, management regularly reports on applicable risks to the relevant committee or our full Board, as appropriate, with additional review or reporting on risks conducted as needed or as requested by our Board and its committees.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has the following standing committees: an audit committee, a compensation committee, and a nominating and corporate governance committee. Each of our committees operates pursuant to a written charter, evaluates its performance annually and reviews its charter annually. Our Board may establish other committees to facilitate the management of our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is responsible for a broad range of key functions and risk oversight activities. These include appointing, compensating, retaining, evaluating, terminating, and overseeing our independent registered public accounting firm, as well as discussing the firms independence from the company. The committee also reviews with the accounting firm all matters required by applicable auditing standards and approves all audit and permissible non-audit services to be performed by the firm. In addition, the audit committee oversees the financial reporting process, engaging in discussions with both management and the independent registered public accounting firm regarding the interim and annual financial statements filed with the SEC. The committee is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charged with reviewing and monitoring our internal controls, disclosure controls and procedures, and ensuring compliance with legal and regulatory requirements. Furthermore, it establishes procedures for the confidential and anonymous submission of concerns related to questionable accounting, internal controls, auditing, and federal securities law matters, and is responsible for reviewing and approving related person transactions. The current members of our audit committee are Mary Kay Ladone, Raymond W. Cohen, and Maxwell Bikoff. The chair of the audit committee is Ms. Ladone. All members of our audit committee meet the requirements for financial literacy under the applicable rules and regulations of Nasdaq and the SEC. Our Board has determined that Ms. Ladone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has determined that Ms. Ladone, Mr. Cohen, and Mr. Bikoff are independent for audit committee purposes as that term is defined in the applicable rules and regulations of Nasdaq and the SEC.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election of the new directors at the Annual Meeting, we expect the audit committee to consist of Ms. Ladone, Mr. Cohen and Mr. Hanley, with Ms. Ladone continuing to serve as chair. Our Board has determined that Mr. Hanley is independent for audit committee purposes as that term is defined in the applicable rules and regulations of Nasdaq and the SEC.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operates under a written charter that satisfies the applicable standards of Nasdaq and the SEC. A copy of the audit committee charter is available to security holders on the Companys website at https://investors.kestramedical.com/corporate-governance/document-charters.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is responsible for reviewing officer and executive compensation goals, policies, plans, and programs, as well as reviewing and approving or recommending to the Board or the independent directors, as applicable, the compensation of directors, the Chief Executive Officer, and other executive officers. In addition, the compensation committee reviews and approves employment agreements and other similar arrangements between the company and its officers and other key executives, and is tasked with appointing and overseeing any compensation consultants. The current members of our compensation committee are Raymond W. Cohen, Jeffrey Schwartz, and Kevin Reilly. The chair of the compensation committee is Mr. Cohen. Our Board has determined that each of the members of our compensation committee is independent under the applicable rules and regulations of Nasdaq and is a non-employee director as defined in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Annual Meeting, we do not expect any changes to the members or chair of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operates under a written charter that satisfies the applicable standards of Nasdaq and the SEC. A copy of the compensation committee charter is available to security holders on the Companys website at https://investors.kestramedical.com/corporate-governance/document-charters. </w:t>
      </w:r>
    </w:p>
    <w:p>
      <w:pPr>
        <w:pStyle w:val="TextBody"/>
        <w:bidi w:val="0"/>
        <w:spacing w:before="360" w:after="0"/>
        <w:jc w:val="left"/>
        <w:rPr>
          <w:rFonts w:ascii="Times New Roman" w:hAnsi="Times New Roman"/>
          <w:i/>
          <w:sz w:val="20"/>
        </w:rPr>
      </w:pPr>
      <w:r>
        <w:rPr>
          <w:rFonts w:ascii="Times New Roman" w:hAnsi="Times New Roman"/>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is responsible for identifying individuals qualified to become members of the Board in accordance with criteria approved by the Board, overseeing the organization of the Board to ensure that it is able to discharge its duties and responsibilities properly and efficiently, and developing and recommending to the Board a set of corporate governance guidelines and principles.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in recommending director candidates to our Board, seeks to maintain a Board that has a balance of skills, knowledge, experience, independence and diversity of professional and other backgrounds that enable the Board to effectively discharge its duties and contribute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overall corporate goals. Our nominating and corporate governance committee evaluates candidates in accordance with a holistic range of criteria set forth in the committees charter, including that candidates should: be persons of good reputation and character who conduct themselves in accordance with high personal and professional ethical standards, maintain an active professional life that keeps them closely attuned to the Companys markets, have the educational background, qualifications and skills relevant for the effective management and oversight of the Companys management, and have the time and willingness to carry out their duties and responsibilities. Director candidates must also satisfy all applicable director independence requirements under the standards of Nasdaq and applicable securities laws, and also comply with the Companys corporate governance policy, including policies relating to overboarding and conflicts of interest. Although the committee does not have specific diversity targets or policies, the committee recognizes the importance of having a Board that represents a wide range of perspectives, and actively seeks a diverse slate of candidates reflecting varied gender, ethnic, tenure, skill, and professional backgrounds. Additionally, although the Company has neither mandatory term limits nor a fixed retirement age, the committee evaluates individual and average Board tenure to promote an appropriate balance between continuity and fresh insight.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Annual Meeting, we expect the nominating and corporate governance committee to consist of Mr. Schwartz, Ms. Ladone and Dr. Kwo, with Mr. Schwartz continuing to serve as chair. Our Board has determined that Dr. Kwo is independent under the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operates under a written charter that satisfies the applicable standards of Nasdaq and the SEC. A copy of the nominating and corporate governance committee charter is available to security holders on the Companys website at https://investors.kestramedical.com/corporate-governance/document-charters.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will also consider director candidates recommended by shareholders. See the section titled Additional Information for a detailed discussion of the relevant procedures and deadlines for shareholder director candidate nominations.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Nomination Process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recommends, and our Board nominates, candidates to stand for election as directors. Our nominating and corporate governance committee has the authority to engage search firms for the purpose of identifying highly qualified director candidates, for which such firms may be paid a fee. Shareholders may also nominate persons to be elected as directors in accordance with our Bye-laws and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Meetings of the Board, Board and Committee Member Attendance, and Annual Meeting Attendance </w:t>
      </w:r>
    </w:p>
    <w:p>
      <w:pPr>
        <w:pStyle w:val="TextBody"/>
        <w:bidi w:val="0"/>
        <w:spacing w:before="120" w:after="0"/>
        <w:jc w:val="left"/>
        <w:rPr>
          <w:rFonts w:ascii="Times New Roman" w:hAnsi="Times New Roman"/>
          <w:sz w:val="20"/>
        </w:rPr>
      </w:pPr>
      <w:r>
        <w:rPr>
          <w:rFonts w:ascii="Times New Roman" w:hAnsi="Times New Roman"/>
          <w:sz w:val="20"/>
        </w:rPr>
        <w:t xml:space="preserve">Our Board met two times during the fiscal year ended April 30, 2025. Each of our Board members attended at least 75% of the meetings of the Board, to the extent appointed as a Board member at the relevant time of each meeting in the fiscal year ended April 30, 2025. While we encourage all of our directors and nominees for director to attend our annual meeting of shareholders, attendance is not mandatory. </w:t>
      </w:r>
    </w:p>
    <w:p>
      <w:pPr>
        <w:pStyle w:val="TextBody"/>
        <w:bidi w:val="0"/>
        <w:spacing w:before="240" w:after="0"/>
        <w:jc w:val="left"/>
        <w:rPr>
          <w:rFonts w:ascii="Times New Roman" w:hAnsi="Times New Roman"/>
          <w:sz w:val="20"/>
        </w:rPr>
      </w:pPr>
      <w:r>
        <w:rPr>
          <w:rFonts w:ascii="Times New Roman" w:hAnsi="Times New Roman"/>
          <w:sz w:val="20"/>
        </w:rPr>
        <w:t xml:space="preserve">Our Board has three standing committees: the audit committee, the compensation committee, and the nominating and corporate governance committee. As each committee was established in connection with the completion of our initial public offering on March 7, 2025, the committees did not hold any meetings in the fiscal year ended April 30, 2025.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with the Board </w:t>
      </w:r>
    </w:p>
    <w:p>
      <w:pPr>
        <w:pStyle w:val="TextBody"/>
        <w:bidi w:val="0"/>
        <w:spacing w:before="120" w:after="0"/>
        <w:jc w:val="left"/>
        <w:rPr>
          <w:rFonts w:ascii="Times New Roman" w:hAnsi="Times New Roman"/>
          <w:sz w:val="20"/>
        </w:rPr>
      </w:pPr>
      <w:r>
        <w:rPr>
          <w:rFonts w:ascii="Times New Roman" w:hAnsi="Times New Roman"/>
          <w:sz w:val="20"/>
        </w:rPr>
        <w:t xml:space="preserve">Should shareholders wish to communicate with the Board or any specified individual directors, such correspondence should be sent to the attention of our General Counsel of the Company at 3933 Lake Washington Blvd NE, Sute 200, Kirkland, Washington 98003 or by email at corporatesecretary@kestramedical.com, who will forward the communication to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April 30, 2025, our compensation committee consisted of Raymond W. Cohen, Jeffrey Schwartz, and Kevin Reilly. None of the members of our compensation committee during the fiscal year ended April 30, 2025 nor any of the current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or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the Policy for Recovery of Erroneously Awarded Compensation (the Clawback Policy) in compliance with Nasdaq listing standards and Section 10D of the Exchange Act effective as of the date of our initial public offering. The Clawback Policy applies to current and former Section 16 officers and requires us, subject to limited exemptions provided by the Nasdaq rules, to recoup incentive-based compensation (as that term is defined in Section 10D of the Exchange Act) erroneously received after the date of our initial public offering and within the three fiscal years preceding the date an accounting restatement is determined to be required. A copy of our Clawback Policy is filed with our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an Insider Trading Policy (the Insider Trading Policy), which governs transactions in our securities and the handling of confidential information about our Company and the companies with which we do business by our directors, officers and employees. Our Insider Trading Policy is designed to promote compliance with federal, state and foreign securities and insider trading laws, rules and regulations. Our Insider Trading Policy also prohibits covered individuals from engaging in short-term trading of our securities; making short sales of our securities; engaging in transactions in put options, call options or other derivative securities in relation to our securities on an exchange or in any other organized market; engaging in hedging or similar monetization transactions designed to have the effect of hedging or offsetting a decrease in the market value of our securities; holding our securities in margin accounts or otherwise pledging our securities as collateral; and placing standing or limit orders on our securities. A copy of our Insider Trading Policy is filed with our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Equity Award Timing Policies and Practices </w:t>
      </w:r>
    </w:p>
    <w:p>
      <w:pPr>
        <w:pStyle w:val="TextBody"/>
        <w:bidi w:val="0"/>
        <w:spacing w:before="120" w:after="0"/>
        <w:jc w:val="left"/>
        <w:rPr>
          <w:rFonts w:ascii="Times New Roman" w:hAnsi="Times New Roman"/>
          <w:sz w:val="20"/>
        </w:rPr>
      </w:pPr>
      <w:r>
        <w:rPr>
          <w:rFonts w:ascii="Times New Roman" w:hAnsi="Times New Roman"/>
          <w:sz w:val="20"/>
        </w:rPr>
        <w:t>In connection with our initial public offering, we awarded options to employees, including our NEOs, as described in the </w:t>
      </w:r>
      <w:r>
        <w:rPr>
          <w:rFonts w:ascii="Times New Roman" w:hAnsi="Times New Roman"/>
          <w:i/>
          <w:sz w:val="20"/>
        </w:rPr>
        <w:t>Executive CompensationNarrative to Summary Compensation Table and Outstanding Equity Award and Fiscal Year-End  Equity Incentive Compensation</w:t>
      </w:r>
      <w:r>
        <w:rPr>
          <w:rFonts w:ascii="Times New Roman" w:hAnsi="Times New Roman"/>
          <w:sz w:val="20"/>
        </w:rPr>
        <w:t xml:space="preserve"> section below. If additional long-term incentive compensation in the form of option awards is determined to be appropriate, our Board, Compensation Committee, or applicable designee intends to approve such annual grants of options for continuing employees in the first fiscal quarter commensurate with the prescheduled Board and committee meetings. </w:t>
      </w:r>
    </w:p>
    <w:p>
      <w:pPr>
        <w:pStyle w:val="TextBody"/>
        <w:bidi w:val="0"/>
        <w:spacing w:before="240" w:after="0"/>
        <w:jc w:val="left"/>
        <w:rPr>
          <w:rFonts w:ascii="Times New Roman" w:hAnsi="Times New Roman"/>
          <w:sz w:val="20"/>
        </w:rPr>
      </w:pPr>
      <w:r>
        <w:rPr>
          <w:rFonts w:ascii="Times New Roman" w:hAnsi="Times New Roman"/>
          <w:sz w:val="20"/>
        </w:rPr>
        <w:t>The grant dates of the options awarded in connection with our initial public offering was selected so as not to be within a short period of time, as described in the SECs Staff Accounting Bulletin 120 (SAB 120), prior to the release of material nonpublic information (MNPI) such as on Forms 8-K, 10-Q, or 10-K. Future grants of options may occur at other times during the year due to business needs, such as for newly hired employees or officers or newly appointed directors. The Board, Compensation Committee, or applicable designee does not anticipate the timing of disclosure of MNPI when determining the timing and terms of such awards, and we do not time the release of MNPI for the purpose of affecting the value of executive compensation. Generally, exercise prices are based on the closing price of the underlying common shares on the date immediately prior to the grant date, subject to the applicable rules for NSOs and ISOs under the Kestra Medical Technologies, Ltd. 2025 Omnibus Incentive Plan (the 2025 Plan). Options granted in connection with our initial public offering generally vest over two years, with 50% vesting on first anniversary of the grant date and the remaining 50% vesting monthly in ratable installments thereafter, with some exceptions for the options granted to our NEOs as described in the </w:t>
      </w:r>
      <w:r>
        <w:rPr>
          <w:rFonts w:ascii="Times New Roman" w:hAnsi="Times New Roman"/>
          <w:i/>
          <w:sz w:val="20"/>
        </w:rPr>
        <w:t>Narrative to Summary Compensation Table and Outstanding Equity Award and Fiscal Year-End  Equity Incentive Compensation</w:t>
      </w:r>
      <w:r>
        <w:rPr>
          <w:rFonts w:ascii="Times New Roman" w:hAnsi="Times New Roman"/>
          <w:sz w:val="20"/>
        </w:rPr>
        <w:t xml:space="preserve"> section below. The vesting schedules of these options were not timed to anticipate the release of MNPI. </w:t>
      </w:r>
    </w:p>
    <w:p>
      <w:pPr>
        <w:pStyle w:val="TextBody"/>
        <w:bidi w:val="0"/>
        <w:spacing w:before="240" w:after="0"/>
        <w:jc w:val="left"/>
        <w:rPr>
          <w:rFonts w:ascii="Times New Roman" w:hAnsi="Times New Roman"/>
          <w:sz w:val="20"/>
        </w:rPr>
      </w:pPr>
      <w:r>
        <w:rPr>
          <w:rFonts w:ascii="Times New Roman" w:hAnsi="Times New Roman"/>
          <w:sz w:val="20"/>
        </w:rPr>
        <w:t xml:space="preserve">There were no grants of options to our NEOs within four business days before or one business day after the release of MNPI on Forms 8-K, 10-Q, or 10-K in the fiscal year ended April 30, 2025. As such, no table of such option grants is presented under Item 402(x)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Policies and Practices Related to the Grant of Certain Equity Awards Close in Time to the Release of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Neither our Board nor our compensation committee takes material non-public information into account when determining the timing of equity awards, and we do not time the release of material nonpublic information based on equity award grant dates. There were no grants of stock options, stock appreciation rights or similar option-like instruments to our NEOs within four business days before or one business day after the release of material non-public information on Forms 8-K, 10-Q, or 10-K in the fiscal year ended April 30,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78457_5"/>
      <w:bookmarkEnd w:id="7"/>
      <w:r>
        <w:rPr>
          <w:rFonts w:ascii="Times New Roman" w:hAnsi="Times New Roman"/>
          <w:b/>
          <w:sz w:val="20"/>
        </w:rPr>
        <w:t xml:space="preserve">TRANSACTIONS WITH RELATED PARTIES </w:t>
      </w:r>
    </w:p>
    <w:p>
      <w:pPr>
        <w:pStyle w:val="TextBody"/>
        <w:bidi w:val="0"/>
        <w:spacing w:before="240" w:after="0"/>
        <w:jc w:val="left"/>
        <w:rPr>
          <w:rFonts w:ascii="Times New Roman" w:hAnsi="Times New Roman"/>
          <w:sz w:val="20"/>
        </w:rPr>
      </w:pPr>
      <w:r>
        <w:rPr>
          <w:rFonts w:ascii="Times New Roman" w:hAnsi="Times New Roman"/>
          <w:sz w:val="20"/>
        </w:rPr>
        <w:t>In addition to the equity and other compensation and employment arrangements discussed in the sections titled </w:t>
      </w:r>
      <w:r>
        <w:rPr>
          <w:rFonts w:ascii="Times New Roman" w:hAnsi="Times New Roman"/>
          <w:i/>
          <w:sz w:val="20"/>
        </w:rPr>
        <w:t>Director Compensation</w:t>
      </w:r>
      <w:r>
        <w:rPr>
          <w:rFonts w:ascii="Times New Roman" w:hAnsi="Times New Roman"/>
          <w:sz w:val="20"/>
        </w:rPr>
        <w:t> and </w:t>
      </w:r>
      <w:r>
        <w:rPr>
          <w:rFonts w:ascii="Times New Roman" w:hAnsi="Times New Roman"/>
          <w:i/>
          <w:sz w:val="20"/>
        </w:rPr>
        <w:t>Executive Compensation</w:t>
      </w:r>
      <w:r>
        <w:rPr>
          <w:rFonts w:ascii="Times New Roman" w:hAnsi="Times New Roman"/>
          <w:sz w:val="20"/>
        </w:rPr>
        <w:t xml:space="preserve">, we describe below transactions and series of similar transactions, since May 1, 2024, to which we were a party or will be a party,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exceeded or will exceed the lesser of $120,000 or one percent of the average of our total assets at year-end for the last two completed fiscal years;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of our common shares, or an affiliate or immediate family member thereof,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IPO Organizational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organizational transactions completed in connection with our initial public offering and as further described in our Annual Report, West Affum Holdings, L.P. delivered our common shares to its existing holders of Class A common units and incentive units in West Affum Holdings, L.P. in exchange for such holders units.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initial public offering, we assumed from West Affum Holdings, L.P. all its rights and obligations under a registration rights agreement (the Registration Rights Agreement) with certain of our shareholders, including Bain Charger Holdings, L.P. The Registration Rights Agreement provides such shareholders certain rights with respect to the registration of our common shares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w:t>
      </w:r>
    </w:p>
    <w:p>
      <w:pPr>
        <w:pStyle w:val="TextBody"/>
        <w:bidi w:val="0"/>
        <w:spacing w:before="120" w:after="0"/>
        <w:jc w:val="left"/>
        <w:rPr>
          <w:rFonts w:ascii="Times New Roman" w:hAnsi="Times New Roman"/>
          <w:sz w:val="20"/>
        </w:rPr>
      </w:pPr>
      <w:r>
        <w:rPr>
          <w:rFonts w:ascii="Times New Roman" w:hAnsi="Times New Roman"/>
          <w:sz w:val="20"/>
        </w:rPr>
        <w:t xml:space="preserve">Affiliates of Bain Capital have ownership interests in a broad range of companies. From time to time, we collaborate with Bain Capital and/or its affiliates to source and outsource certain goods and services and enter into other commercial transactions in the ordinary course of our business. We believe that all such arrangements have been entered into in the ordinary course of business and have been negotiated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and Executive Officer Compensation </w:t>
      </w:r>
    </w:p>
    <w:p>
      <w:pPr>
        <w:pStyle w:val="TextBody"/>
        <w:bidi w:val="0"/>
        <w:spacing w:before="120" w:after="0"/>
        <w:jc w:val="left"/>
        <w:rPr>
          <w:rFonts w:ascii="Times New Roman" w:hAnsi="Times New Roman"/>
          <w:sz w:val="20"/>
        </w:rPr>
      </w:pPr>
      <w:r>
        <w:rPr>
          <w:rFonts w:ascii="Times New Roman" w:hAnsi="Times New Roman"/>
          <w:sz w:val="20"/>
        </w:rPr>
        <w:t>See sections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Director Compensation</w:t>
      </w:r>
      <w:r>
        <w:rPr>
          <w:rFonts w:ascii="Times New Roman" w:hAnsi="Times New Roman"/>
          <w:sz w:val="20"/>
        </w:rPr>
        <w:t xml:space="preserve"> for information regarding compensation of our directors and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We have entered into employment agreements with our executive officers. For more information regarding these agreements, see </w:t>
      </w:r>
      <w:r>
        <w:rPr>
          <w:rFonts w:ascii="Times New Roman" w:hAnsi="Times New Roman"/>
          <w:i/>
          <w:sz w:val="20"/>
        </w:rPr>
        <w:t>Executive CompensationNarrative to 2025 Summary Compensation Table and Outstanding Equity Awards at 2025 Fiscal Year EndEmployment Agreements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Section 98 of the Bermuda Companies Act 1981, as amended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Supreme Court of Bermuda pursuant to Section 281 of the Companies Act. We provide indemnification protection to our directors and officers to the fullest extent permitted by applicable law pursuant to provisions contained in our Bye-laws and through indemnification agreements with each individual.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Party Transactions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written related party transactions policy, under which our executive officers, directors, nominees for election as a director, beneficial owners of more than 5% of any class of our common shares and any members of the immediate family of any of the foregoing persons are not permitted to enter into a related person transaction with us without the prior consent of our audit committee. Any request for us to enter into a transaction with an executive officer, director, nominee for election as a director, beneficial owner of more than 5% of any class of our common shares or any member of the immediate family of any of the foregoing persons in which the amount involved exceeds $120,000 and such person would have a direct or indirect interest must first be presented to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78457_6"/>
      <w:bookmarkEnd w:id="8"/>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2025, prior to our initial public offering, other than described below, none of the Companys non-employee directors (which included Mr. Gordon, Mr. Schwartz, Ms. Mishan and Mr. Chilazi) received compensation for their service as directors. Additionally, the Companys directors who were executives of the Company (which included Mr. Webster and Ms. Umberger) were not eligible to receive additional compensation for their services as directors prior to our initial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Prior to our IPO </w:t>
      </w:r>
    </w:p>
    <w:p>
      <w:pPr>
        <w:pStyle w:val="TextBody"/>
        <w:bidi w:val="0"/>
        <w:spacing w:before="120" w:after="0"/>
        <w:jc w:val="left"/>
        <w:rPr>
          <w:rFonts w:ascii="Times New Roman" w:hAnsi="Times New Roman"/>
          <w:sz w:val="20"/>
        </w:rPr>
      </w:pPr>
      <w:r>
        <w:rPr>
          <w:rFonts w:ascii="Times New Roman" w:hAnsi="Times New Roman"/>
          <w:sz w:val="20"/>
        </w:rPr>
        <w:t xml:space="preserve">Ms. Mishan was a member of the Board up until the time of our initial public offering. In November 2024, Ms. Mishan entered into an individual director compensation agreement under which she was entitled to receive (i) a $40,000 annual cash retainer for her service as a member of the Board, and (ii) an initial grant of 10,224.95 incentive units (in the form of Class A Common Units of West Affum Holdings, L.P.) intended to qualify as profits interests for federal income tax purposes. This award was eligible to vest in three equal installments on the three anniversaries following the date of grant, subject to Ms. Mishans continued service through each applicable vesting date. All unvested incentive units subject to the award were also eligible to accelerate and vest upon the occurrence of a Sale of the Partnership (as defined in the West Affum Holdings, L.P. Partnership Agreement). The director compensation agreement also subjects Ms. Mishan to the following restrictive covenants: (i) non-competition (for the longer of (a) 12 months or (b) through such period that severance is being paid by West Affum Holdings, L.P. or its affiliates to the director); (ii) non-solicitation and non-hire of employees or service providers of West Affum Holdings, L.P., in each case, while the director is providing services and for one year following termination; (iii) perpetual non-disparagement; and (iv) perpetual non-disclosure of confidential information. Ms. Mishan resigned from the Board on February 10, 2025. In connection with Ms. Mishans resignation, the Board paid out the remainder of her unearned $40,000 annual cash retainer and permitted the incentive units to remain outstanding and accelerate in connection with the initial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our initial public offering, the Board approved a director compensation policy for non-employee directors and executive directors of the company (the Director Compensation Policy).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Director Compensation Policy, our non-employee and executive directors receive annual cash compensation as follows (pro-rated for partial years of service):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6"/>
        <w:gridCol w:w="461"/>
        <w:gridCol w:w="141"/>
        <w:gridCol w:w="937"/>
        <w:gridCol w:w="64"/>
      </w:tblGrid>
      <w:tr>
        <w:trPr/>
        <w:tc>
          <w:tcPr>
            <w:tcW w:w="5336"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Compensation</w:t>
            </w:r>
          </w:p>
        </w:tc>
        <w:tc>
          <w:tcPr>
            <w:tcW w:w="461"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Retainer for non-executive Chair of the Board</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120,000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Retainer for each non-employee member of the Board</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60,000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Retainer for each executive director(1)</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50,000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retainer for Chair of the Audit Committee</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25,000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retainer for Chair of the Compensation Committee</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18,000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retainer for Chair of the Nominating Committee</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12,000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retainer for non-Chair members of the Audit Committee</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12,000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retainer for non-Chair members of the Compensation Committee</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9,000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retainer for non-Chair members of the Nominating Committee</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6,000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cash compensation received by each of Mr. Webster and Ms. Umberger for their service as members of the Board during fiscal year 2025 is reported in the Summary Compensation Table in the Executive Compensation section of this proxy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the fees above, each non-employee director who (i) serves on the Board as of the date of the annual meeting of the stockholders and (ii) will continue to serve as a non-employee director immediately following such annual meeting will receive annual grant of restricted stock units pursuant to the 2025 Plan with a grant date value equal to $185,000, which fully vest on the one-year anniversary of the grant date. Upon a termination of a non-employee directors service on the Board for any reason, all unvested RSUs will be forfeited.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are reimbursed for travel, food, lodging and other expenses directly related to their activities as directors. Our Board may revise the compensation arrangements for our directors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contains information concerning the compensation of our non-employee directors in fiscal year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8"/>
        <w:gridCol w:w="190"/>
        <w:gridCol w:w="150"/>
        <w:gridCol w:w="1722"/>
        <w:gridCol w:w="60"/>
        <w:gridCol w:w="190"/>
        <w:gridCol w:w="60"/>
        <w:gridCol w:w="800"/>
        <w:gridCol w:w="60"/>
        <w:gridCol w:w="190"/>
        <w:gridCol w:w="124"/>
        <w:gridCol w:w="1689"/>
        <w:gridCol w:w="351"/>
        <w:gridCol w:w="132"/>
        <w:gridCol w:w="554"/>
        <w:gridCol w:w="1284"/>
        <w:gridCol w:w="60"/>
        <w:gridCol w:w="189"/>
        <w:gridCol w:w="60"/>
        <w:gridCol w:w="812"/>
        <w:gridCol w:w="70"/>
      </w:tblGrid>
      <w:tr>
        <w:trPr/>
        <w:tc>
          <w:tcPr>
            <w:tcW w:w="1458"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4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Name(1)</w:t>
            </w:r>
          </w:p>
        </w:tc>
        <w:tc>
          <w:tcPr>
            <w:tcW w:w="190"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w:t>
              <w:br/>
              <w:t>Paid in Cash ($)(2)</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br/>
              <w:t>Awards</w:t>
            </w:r>
            <w:r>
              <w:rPr/>
              <w:br/>
            </w:r>
            <w:r>
              <w:rPr>
                <w:b/>
              </w:rPr>
              <w:t>($)(3)</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Awards ($)</w:t>
            </w:r>
          </w:p>
        </w:tc>
        <w:tc>
          <w:tcPr>
            <w:tcW w:w="351"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70" w:type="dxa"/>
            <w:tcBorders/>
            <w:vAlign w:val="bottom"/>
          </w:tcPr>
          <w:p>
            <w:pPr>
              <w:pStyle w:val="TableContents"/>
              <w:bidi w:val="0"/>
              <w:spacing w:before="0" w:after="283"/>
              <w:jc w:val="left"/>
              <w:rPr/>
            </w:pPr>
            <w:r>
              <w:rPr/>
              <w:t> </w:t>
            </w:r>
          </w:p>
        </w:tc>
      </w:tr>
      <w:tr>
        <w:trPr/>
        <w:tc>
          <w:tcPr>
            <w:tcW w:w="1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Schwartz</w:t>
            </w:r>
          </w:p>
        </w:tc>
        <w:tc>
          <w:tcPr>
            <w:tcW w:w="1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bidi w:val="0"/>
              <w:spacing w:before="0" w:after="283"/>
              <w:jc w:val="right"/>
              <w:rPr/>
            </w:pPr>
            <w:r>
              <w:rPr/>
              <w:t>21,247</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21,247</w:t>
            </w:r>
          </w:p>
        </w:tc>
        <w:tc>
          <w:tcPr>
            <w:tcW w:w="70" w:type="dxa"/>
            <w:tcBorders/>
            <w:shd w:fill="CCEEFF" w:val="clear"/>
            <w:vAlign w:val="bottom"/>
          </w:tcPr>
          <w:p>
            <w:pPr>
              <w:pStyle w:val="TableContents"/>
              <w:bidi w:val="0"/>
              <w:spacing w:before="0" w:after="283"/>
              <w:jc w:val="left"/>
              <w:rPr/>
            </w:pPr>
            <w:r>
              <w:rPr/>
              <w:t> </w:t>
            </w:r>
          </w:p>
        </w:tc>
      </w:tr>
      <w:tr>
        <w:trPr/>
        <w:tc>
          <w:tcPr>
            <w:tcW w:w="1458" w:type="dxa"/>
            <w:tcBorders/>
          </w:tcPr>
          <w:p>
            <w:pPr>
              <w:pStyle w:val="TableContents"/>
              <w:bidi w:val="0"/>
              <w:spacing w:before="0" w:after="0"/>
              <w:jc w:val="left"/>
              <w:rPr>
                <w:rFonts w:ascii="Times New Roman" w:hAnsi="Times New Roman"/>
                <w:sz w:val="20"/>
              </w:rPr>
            </w:pPr>
            <w:r>
              <w:rPr>
                <w:rFonts w:ascii="Times New Roman" w:hAnsi="Times New Roman"/>
                <w:sz w:val="20"/>
              </w:rPr>
              <w:t>Toby AuWerter</w:t>
            </w:r>
          </w:p>
        </w:tc>
        <w:tc>
          <w:tcPr>
            <w:tcW w:w="1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2" w:type="dxa"/>
            <w:tcBorders/>
            <w:vAlign w:val="bottom"/>
          </w:tcPr>
          <w:p>
            <w:pPr>
              <w:pStyle w:val="TableContents"/>
              <w:bidi w:val="0"/>
              <w:spacing w:before="0" w:after="283"/>
              <w:jc w:val="right"/>
              <w:rPr/>
            </w:pPr>
            <w:r>
              <w:rPr/>
              <w:t>9,945</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9,945</w:t>
            </w:r>
          </w:p>
        </w:tc>
        <w:tc>
          <w:tcPr>
            <w:tcW w:w="70" w:type="dxa"/>
            <w:tcBorders/>
            <w:vAlign w:val="bottom"/>
          </w:tcPr>
          <w:p>
            <w:pPr>
              <w:pStyle w:val="TableContents"/>
              <w:bidi w:val="0"/>
              <w:spacing w:before="0" w:after="283"/>
              <w:jc w:val="left"/>
              <w:rPr/>
            </w:pPr>
            <w:r>
              <w:rPr/>
              <w:t> </w:t>
            </w:r>
          </w:p>
        </w:tc>
      </w:tr>
      <w:tr>
        <w:trPr/>
        <w:tc>
          <w:tcPr>
            <w:tcW w:w="1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Maxwell Bikoff</w:t>
            </w:r>
          </w:p>
        </w:tc>
        <w:tc>
          <w:tcPr>
            <w:tcW w:w="1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bidi w:val="0"/>
              <w:spacing w:before="0" w:after="283"/>
              <w:jc w:val="right"/>
              <w:rPr/>
            </w:pPr>
            <w:r>
              <w:rPr/>
              <w:t>10,849</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10,849</w:t>
            </w:r>
          </w:p>
        </w:tc>
        <w:tc>
          <w:tcPr>
            <w:tcW w:w="70" w:type="dxa"/>
            <w:tcBorders/>
            <w:shd w:fill="CCEEFF" w:val="clear"/>
            <w:vAlign w:val="bottom"/>
          </w:tcPr>
          <w:p>
            <w:pPr>
              <w:pStyle w:val="TableContents"/>
              <w:bidi w:val="0"/>
              <w:spacing w:before="0" w:after="283"/>
              <w:jc w:val="left"/>
              <w:rPr/>
            </w:pPr>
            <w:r>
              <w:rPr/>
              <w:t> </w:t>
            </w:r>
          </w:p>
        </w:tc>
      </w:tr>
      <w:tr>
        <w:trPr/>
        <w:tc>
          <w:tcPr>
            <w:tcW w:w="1458" w:type="dxa"/>
            <w:tcBorders/>
          </w:tcPr>
          <w:p>
            <w:pPr>
              <w:pStyle w:val="TableContents"/>
              <w:bidi w:val="0"/>
              <w:spacing w:before="0" w:after="0"/>
              <w:jc w:val="left"/>
              <w:rPr>
                <w:rFonts w:ascii="Times New Roman" w:hAnsi="Times New Roman"/>
                <w:sz w:val="20"/>
              </w:rPr>
            </w:pPr>
            <w:r>
              <w:rPr>
                <w:rFonts w:ascii="Times New Roman" w:hAnsi="Times New Roman"/>
                <w:sz w:val="20"/>
              </w:rPr>
              <w:t>Raymond W. Cohen</w:t>
            </w:r>
          </w:p>
        </w:tc>
        <w:tc>
          <w:tcPr>
            <w:tcW w:w="1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2" w:type="dxa"/>
            <w:tcBorders/>
            <w:vAlign w:val="bottom"/>
          </w:tcPr>
          <w:p>
            <w:pPr>
              <w:pStyle w:val="TableContents"/>
              <w:bidi w:val="0"/>
              <w:spacing w:before="0" w:after="283"/>
              <w:jc w:val="right"/>
              <w:rPr/>
            </w:pPr>
            <w:r>
              <w:rPr/>
              <w:t>13,562</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150,000</w:t>
            </w:r>
          </w:p>
        </w:tc>
        <w:tc>
          <w:tcPr>
            <w:tcW w:w="351" w:type="dxa"/>
            <w:tcBorders/>
            <w:vAlign w:val="bottom"/>
          </w:tcPr>
          <w:p>
            <w:pPr>
              <w:pStyle w:val="TableContents"/>
              <w:bidi w:val="0"/>
              <w:spacing w:before="0" w:after="283"/>
              <w:jc w:val="left"/>
              <w:rPr/>
            </w:pPr>
            <w:r>
              <w:rPr/>
              <w:t>(4) </w:t>
            </w:r>
          </w:p>
        </w:tc>
        <w:tc>
          <w:tcPr>
            <w:tcW w:w="132"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163,562</w:t>
            </w:r>
          </w:p>
        </w:tc>
        <w:tc>
          <w:tcPr>
            <w:tcW w:w="70" w:type="dxa"/>
            <w:tcBorders/>
            <w:vAlign w:val="bottom"/>
          </w:tcPr>
          <w:p>
            <w:pPr>
              <w:pStyle w:val="TableContents"/>
              <w:bidi w:val="0"/>
              <w:spacing w:before="0" w:after="283"/>
              <w:jc w:val="left"/>
              <w:rPr/>
            </w:pPr>
            <w:r>
              <w:rPr/>
              <w:t> </w:t>
            </w:r>
          </w:p>
        </w:tc>
      </w:tr>
      <w:tr>
        <w:trPr/>
        <w:tc>
          <w:tcPr>
            <w:tcW w:w="1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Gordon</w:t>
            </w:r>
          </w:p>
        </w:tc>
        <w:tc>
          <w:tcPr>
            <w:tcW w:w="1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bidi w:val="0"/>
              <w:spacing w:before="0" w:after="283"/>
              <w:jc w:val="right"/>
              <w:rPr/>
            </w:pPr>
            <w:r>
              <w:rPr/>
              <w:t>9,041</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9,041</w:t>
            </w:r>
          </w:p>
        </w:tc>
        <w:tc>
          <w:tcPr>
            <w:tcW w:w="70" w:type="dxa"/>
            <w:tcBorders/>
            <w:shd w:fill="CCEEFF" w:val="clear"/>
            <w:vAlign w:val="bottom"/>
          </w:tcPr>
          <w:p>
            <w:pPr>
              <w:pStyle w:val="TableContents"/>
              <w:bidi w:val="0"/>
              <w:spacing w:before="0" w:after="283"/>
              <w:jc w:val="left"/>
              <w:rPr/>
            </w:pPr>
            <w:r>
              <w:rPr/>
              <w:t> </w:t>
            </w:r>
          </w:p>
        </w:tc>
      </w:tr>
      <w:tr>
        <w:trPr/>
        <w:tc>
          <w:tcPr>
            <w:tcW w:w="1458" w:type="dxa"/>
            <w:tcBorders/>
          </w:tcPr>
          <w:p>
            <w:pPr>
              <w:pStyle w:val="TableContents"/>
              <w:bidi w:val="0"/>
              <w:spacing w:before="0" w:after="0"/>
              <w:jc w:val="left"/>
              <w:rPr>
                <w:rFonts w:ascii="Times New Roman" w:hAnsi="Times New Roman"/>
                <w:sz w:val="20"/>
              </w:rPr>
            </w:pPr>
            <w:r>
              <w:rPr>
                <w:rFonts w:ascii="Times New Roman" w:hAnsi="Times New Roman"/>
                <w:sz w:val="20"/>
              </w:rPr>
              <w:t>Mary Kay Ladone</w:t>
            </w:r>
          </w:p>
        </w:tc>
        <w:tc>
          <w:tcPr>
            <w:tcW w:w="1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2" w:type="dxa"/>
            <w:tcBorders/>
            <w:vAlign w:val="bottom"/>
          </w:tcPr>
          <w:p>
            <w:pPr>
              <w:pStyle w:val="TableContents"/>
              <w:bidi w:val="0"/>
              <w:spacing w:before="0" w:after="283"/>
              <w:jc w:val="right"/>
              <w:rPr/>
            </w:pPr>
            <w:r>
              <w:rPr/>
              <w:t>13,712</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150,000</w:t>
            </w:r>
          </w:p>
        </w:tc>
        <w:tc>
          <w:tcPr>
            <w:tcW w:w="351" w:type="dxa"/>
            <w:tcBorders/>
            <w:vAlign w:val="bottom"/>
          </w:tcPr>
          <w:p>
            <w:pPr>
              <w:pStyle w:val="TableContents"/>
              <w:bidi w:val="0"/>
              <w:spacing w:before="0" w:after="283"/>
              <w:jc w:val="left"/>
              <w:rPr/>
            </w:pPr>
            <w:r>
              <w:rPr/>
              <w:t>(4) </w:t>
            </w:r>
          </w:p>
        </w:tc>
        <w:tc>
          <w:tcPr>
            <w:tcW w:w="132"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163,712</w:t>
            </w:r>
          </w:p>
        </w:tc>
        <w:tc>
          <w:tcPr>
            <w:tcW w:w="70" w:type="dxa"/>
            <w:tcBorders/>
            <w:vAlign w:val="bottom"/>
          </w:tcPr>
          <w:p>
            <w:pPr>
              <w:pStyle w:val="TableContents"/>
              <w:bidi w:val="0"/>
              <w:spacing w:before="0" w:after="283"/>
              <w:jc w:val="left"/>
              <w:rPr/>
            </w:pPr>
            <w:r>
              <w:rPr/>
              <w:t> </w:t>
            </w:r>
          </w:p>
        </w:tc>
      </w:tr>
      <w:tr>
        <w:trPr/>
        <w:tc>
          <w:tcPr>
            <w:tcW w:w="1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Reilly</w:t>
            </w:r>
          </w:p>
        </w:tc>
        <w:tc>
          <w:tcPr>
            <w:tcW w:w="1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bidi w:val="0"/>
              <w:spacing w:before="0" w:after="283"/>
              <w:jc w:val="right"/>
              <w:rPr/>
            </w:pPr>
            <w:r>
              <w:rPr/>
              <w:t>10,397</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10,397</w:t>
            </w:r>
          </w:p>
        </w:tc>
        <w:tc>
          <w:tcPr>
            <w:tcW w:w="70" w:type="dxa"/>
            <w:tcBorders/>
            <w:shd w:fill="CCEEFF" w:val="clear"/>
            <w:vAlign w:val="bottom"/>
          </w:tcPr>
          <w:p>
            <w:pPr>
              <w:pStyle w:val="TableContents"/>
              <w:bidi w:val="0"/>
              <w:spacing w:before="0" w:after="283"/>
              <w:jc w:val="left"/>
              <w:rPr/>
            </w:pPr>
            <w:r>
              <w:rPr/>
              <w:t> </w:t>
            </w:r>
          </w:p>
        </w:tc>
      </w:tr>
      <w:tr>
        <w:trPr/>
        <w:tc>
          <w:tcPr>
            <w:tcW w:w="1458" w:type="dxa"/>
            <w:tcBorders/>
          </w:tcPr>
          <w:p>
            <w:pPr>
              <w:pStyle w:val="TableContents"/>
              <w:bidi w:val="0"/>
              <w:spacing w:before="0" w:after="0"/>
              <w:jc w:val="left"/>
              <w:rPr>
                <w:rFonts w:ascii="Times New Roman" w:hAnsi="Times New Roman"/>
                <w:sz w:val="20"/>
              </w:rPr>
            </w:pPr>
            <w:r>
              <w:rPr>
                <w:rFonts w:ascii="Times New Roman" w:hAnsi="Times New Roman"/>
                <w:sz w:val="20"/>
              </w:rPr>
              <w:t>Orly Mishan (5)</w:t>
            </w:r>
          </w:p>
        </w:tc>
        <w:tc>
          <w:tcPr>
            <w:tcW w:w="1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2" w:type="dxa"/>
            <w:tcBorders/>
            <w:vAlign w:val="bottom"/>
          </w:tcPr>
          <w:p>
            <w:pPr>
              <w:pStyle w:val="TableContents"/>
              <w:bidi w:val="0"/>
              <w:spacing w:before="0" w:after="283"/>
              <w:jc w:val="right"/>
              <w:rPr/>
            </w:pPr>
            <w:r>
              <w:rPr/>
              <w:t>40,000</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150,000</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190,000</w:t>
            </w:r>
          </w:p>
        </w:tc>
        <w:tc>
          <w:tcPr>
            <w:tcW w:w="70" w:type="dxa"/>
            <w:tcBorders/>
            <w:vAlign w:val="bottom"/>
          </w:tcPr>
          <w:p>
            <w:pPr>
              <w:pStyle w:val="TableContents"/>
              <w:bidi w:val="0"/>
              <w:spacing w:before="0" w:after="283"/>
              <w:jc w:val="left"/>
              <w:rPr/>
            </w:pPr>
            <w:r>
              <w:rPr/>
              <w:t> </w:t>
            </w:r>
          </w:p>
        </w:tc>
      </w:tr>
      <w:tr>
        <w:trPr/>
        <w:tc>
          <w:tcPr>
            <w:tcW w:w="1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Chilazi (6)</w:t>
            </w:r>
          </w:p>
        </w:tc>
        <w:tc>
          <w:tcPr>
            <w:tcW w:w="1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Webster and Ms. Umberger are excluded from this table because their respective compensation for service as a director during fiscal 2025 is fully reported in the Summary Compensation Table in the Executive Compensation section of this proxy statement.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pro-rata amount of the annual cash fees earned by each non-employee director (other than Ms. Mishan and Mr. Chilazi) pursuant to the Director Compensation Policy for the period starting on the effective date of the initial public offering through the end of the 2025 fiscal year. For Ms. Mishan, this amount reflects the full amount of her annual cash compensation under her individual director compensation agreement, not pro-rated for her partial year of service.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aggregate grant date fair value of the 10,224.95 Restricted Class A Common Units in West Affum Holdings, L.P. granted to Ms. Mishan in November 2024, computed in accordance with FASB ASC Topic 718. We provide information regarding the assumptions used to calculate the value of all option awards in Note 12 to our financial statements included in our Annual Report. No incremental fair value was attributed to the portion of such award for which vesting was accelerated in connection with Ms. Mishans resignation from the Board in February 2025. This award of Restricted Class Common A Units was intended to constitute profits interests for U.S. federal income tax purposes. Despite the fact that the Restricted Class A Common Units do not require the payment of an exercise price, they are most similar economically to stock options. Accordingly, they are classified as options under the definition provided in Item 402(k)(2)(iv) of Regulation S-K as an instrument with an option-like feature.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12,994 restricted common shares of the Company issued to each of Mr. Cohen and Ms. Ladone on March 7, 2025 in connection with our initial public offering in exchange for their unvested Class A Common Units in West Affum Holdings, L.P, computed in accordance with FASB ASC Topic 718. We provide information regarding the assumptions used to calculate the value of all stock awards in Note 12 to our financial statements included in our Annual Report. Mr. Cohens restricted common shares will vest in one-third increments on each of July 24, 2025, July 24, 2026 and July 24, 2027. Ms. Ladones restricted common shares will vest in one-third increments on each of October 7, 2025, October 7, 2026 and October 7, 2027. No other non-employee directors held outstanding stock or option awards as of April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Mishan resigned from the Board on February 10,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Chilazi resigned from the Board on February 4,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78457_7"/>
      <w:bookmarkEnd w:id="9"/>
      <w:r>
        <w:rPr>
          <w:rFonts w:ascii="Times New Roman" w:hAnsi="Times New Roman"/>
          <w:b/>
          <w:sz w:val="20"/>
        </w:rPr>
        <w:t xml:space="preserve">PROPOSAL NO. 2 </w:t>
      </w:r>
    </w:p>
    <w:p>
      <w:pPr>
        <w:pStyle w:val="TextBody"/>
        <w:bidi w:val="0"/>
        <w:spacing w:before="0" w:after="0"/>
        <w:jc w:val="center"/>
        <w:rPr>
          <w:rFonts w:ascii="Times New Roman" w:hAnsi="Times New Roman"/>
          <w:b/>
          <w:sz w:val="20"/>
        </w:rPr>
      </w:pPr>
      <w:r>
        <w:rPr>
          <w:rFonts w:ascii="Times New Roman" w:hAnsi="Times New Roman"/>
          <w:b/>
          <w:sz w:val="20"/>
        </w:rPr>
        <w:t xml:space="preserve">RATIFICATION OF SELECTION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appointed PricewaterhouseCoopers LLP (PwC) as our independent registered public accounting firm for the fiscal year ending April 30, 2026, and is seeking ratification of such selection by our shareholders at the Annual Meeting. PwC has audited our financial statements for each of our fiscal years since the fiscal year ended April 30, 2016. Representatives of PwC are expected to be in attendance online at the Annual Meeting, will have an opportunity to make a statement if they so desire, and will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negative vote on this proposal, the audit committee will reconsider its selection. Even if the selection is ratified, the audit committee may, in its discretion, appoint a different independent registered public accounting firm at any time during the year if it determines that such a change would be in the best interests of our Company and our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aggregate fees for services rendered by PwC relating to the fiscal years ended April 30,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47"/>
        <w:gridCol w:w="374"/>
        <w:gridCol w:w="142"/>
        <w:gridCol w:w="1058"/>
        <w:gridCol w:w="60"/>
        <w:gridCol w:w="374"/>
        <w:gridCol w:w="142"/>
        <w:gridCol w:w="893"/>
        <w:gridCol w:w="65"/>
      </w:tblGrid>
      <w:tr>
        <w:trPr/>
        <w:tc>
          <w:tcPr>
            <w:tcW w:w="4647"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669"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Fiscal Year Ended</w:t>
            </w:r>
          </w:p>
          <w:p>
            <w:pPr>
              <w:pStyle w:val="TableContents"/>
              <w:bidi w:val="0"/>
              <w:spacing w:before="0" w:after="20"/>
              <w:jc w:val="center"/>
              <w:rPr>
                <w:rFonts w:ascii="Times New Roman" w:hAnsi="Times New Roman"/>
                <w:b/>
                <w:sz w:val="16"/>
              </w:rPr>
            </w:pPr>
            <w:r>
              <w:rPr>
                <w:rFonts w:ascii="Times New Roman" w:hAnsi="Times New Roman"/>
                <w:b/>
                <w:sz w:val="16"/>
              </w:rPr>
              <w:t>April 30,</w:t>
            </w:r>
          </w:p>
        </w:tc>
        <w:tc>
          <w:tcPr>
            <w:tcW w:w="65"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3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2,312,000</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645,800</w:t>
            </w:r>
          </w:p>
        </w:tc>
        <w:tc>
          <w:tcPr>
            <w:tcW w:w="65"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3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3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160,000</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18,000</w:t>
            </w:r>
          </w:p>
        </w:tc>
        <w:tc>
          <w:tcPr>
            <w:tcW w:w="65"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All Other Fees(2)</w:t>
            </w:r>
          </w:p>
        </w:tc>
        <w:tc>
          <w:tcPr>
            <w:tcW w:w="3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2,000</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2,000</w:t>
            </w:r>
          </w:p>
        </w:tc>
        <w:tc>
          <w:tcPr>
            <w:tcW w:w="65"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Fees</w:t>
            </w:r>
          </w:p>
        </w:tc>
        <w:tc>
          <w:tcPr>
            <w:tcW w:w="3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1058" w:type="dxa"/>
            <w:tcBorders/>
            <w:shd w:fill="CCEEFF" w:val="clear"/>
            <w:vAlign w:val="bottom"/>
          </w:tcPr>
          <w:p>
            <w:pPr>
              <w:pStyle w:val="TableContents"/>
              <w:bidi w:val="0"/>
              <w:spacing w:before="0" w:after="283"/>
              <w:jc w:val="right"/>
              <w:rPr>
                <w:b/>
              </w:rPr>
            </w:pPr>
            <w:r>
              <w:rPr>
                <w:b/>
              </w:rPr>
              <w:t>2,474,000</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893" w:type="dxa"/>
            <w:tcBorders/>
            <w:shd w:fill="CCEEFF" w:val="clear"/>
            <w:vAlign w:val="bottom"/>
          </w:tcPr>
          <w:p>
            <w:pPr>
              <w:pStyle w:val="TableContents"/>
              <w:bidi w:val="0"/>
              <w:spacing w:before="0" w:after="283"/>
              <w:jc w:val="right"/>
              <w:rPr>
                <w:b/>
              </w:rPr>
            </w:pPr>
            <w:r>
              <w:rPr>
                <w:b/>
              </w:rPr>
              <w:t>665,800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fees billed or expected to be billed for professional services provided primarily in connection with the annual audit of our consolidated financial statements, quarterly reviews and services associated with SEC registration statements and other documents issued in connection with our initial public offering including comfort letters and consents.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Fees consist of an annual subscription to PwCs accounting literature and tools.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committees charter mandates that the audit committee or its delegate pre-approve all audit and non-audit tax services provided by its independent registered public accounting firm, unless the engagement is entered into pursuant to appropriate additional pre-approval policies established by the audit committee. The audit committee may delegate approval authority to one or more of its members. The member to whom such authority is delegated must report, for informational purposes only, any approval decisions to the audit committee at its next scheduled meeting. In accordance with the charter, the audit committee approved all of the audit, tax, and other services provided by PwC for 2025 and 2024, including the audit, tax, and other services provided by PwC following our initial public offering, and in each case, the estimated costs of those services. Actual amounts rendered, to the extent in excess of the estimated amounts, are periodically reviewed and approved by the audit committee.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A VOTE FOR THE RATIFICATION OF OUR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78457_8"/>
      <w:bookmarkEnd w:id="10"/>
      <w:r>
        <w:rPr>
          <w:rFonts w:ascii="Times New Roman" w:hAnsi="Times New Roman"/>
          <w:b/>
          <w:sz w:val="20"/>
        </w:rPr>
        <w:t xml:space="preserve">REPORT OF THE AUDIT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the audit committee is to oversee our financial reporting processes on behalf of our Board. The audit committees functions are more fully described in its charter, which is available on our website at https://investors.kestramedical.com/corporate-governance/document-charters. Management has the primary responsibility for our financial statements and reporting processes, including our systems of internal controls. In fulfilling its oversight responsibilities, the audit committee reviewed and discussed with management Kestras audited financial statements as of and for the fiscal year ended April 30, 2025.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discussed with PwC, Kestras independent registered public accounting firm, the matters required to be discussed by Auditing Standard 1301, Communications with audit committees, as adopted by the Public Company Accounting Oversight Board (the PCAOB) and the SEC. In addition, the audit committee has received the written disclosures and the letter from PwC required by PCAOB Ethics and Independence Rule 3526, Communication with audit committees Concerning Independence, and the audit committee has discussed with PwC their independence from the Company and its management. Finally, the audit committee discussed with PwC, with and without management present, the scope and results of PwCs audit of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reviews and discussions, the audit committee has recommended to our Board of Directors that such audited financial statements be included in Kestras Annual Report on Form 10-K for the fiscal year ended April 30, 2025, for filing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Audit Committee </w:t>
      </w:r>
    </w:p>
    <w:p>
      <w:pPr>
        <w:pStyle w:val="TextBody"/>
        <w:bidi w:val="0"/>
        <w:spacing w:before="360" w:after="0"/>
        <w:jc w:val="left"/>
        <w:rPr>
          <w:rFonts w:ascii="Times New Roman" w:hAnsi="Times New Roman"/>
          <w:sz w:val="20"/>
        </w:rPr>
      </w:pPr>
      <w:r>
        <w:rPr>
          <w:rFonts w:ascii="Times New Roman" w:hAnsi="Times New Roman"/>
          <w:sz w:val="20"/>
        </w:rPr>
        <w:t xml:space="preserve">Mary Kay Ladone, chair </w:t>
      </w:r>
    </w:p>
    <w:p>
      <w:pPr>
        <w:pStyle w:val="TextBody"/>
        <w:bidi w:val="0"/>
        <w:spacing w:before="0" w:after="0"/>
        <w:jc w:val="left"/>
        <w:rPr>
          <w:rFonts w:ascii="Times New Roman" w:hAnsi="Times New Roman"/>
          <w:sz w:val="20"/>
        </w:rPr>
      </w:pPr>
      <w:r>
        <w:rPr>
          <w:rFonts w:ascii="Times New Roman" w:hAnsi="Times New Roman"/>
          <w:sz w:val="20"/>
        </w:rPr>
        <w:t xml:space="preserve">Raymond W. Cohen </w:t>
      </w:r>
    </w:p>
    <w:p>
      <w:pPr>
        <w:pStyle w:val="TextBody"/>
        <w:bidi w:val="0"/>
        <w:spacing w:before="0" w:after="0"/>
        <w:jc w:val="left"/>
        <w:rPr>
          <w:rFonts w:ascii="Times New Roman" w:hAnsi="Times New Roman"/>
          <w:sz w:val="20"/>
        </w:rPr>
      </w:pPr>
      <w:r>
        <w:rPr>
          <w:rFonts w:ascii="Times New Roman" w:hAnsi="Times New Roman"/>
          <w:sz w:val="20"/>
        </w:rPr>
        <w:t xml:space="preserve">Maxwell Bikoff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78457_9"/>
      <w:bookmarkEnd w:id="11"/>
      <w:r>
        <w:rPr>
          <w:rFonts w:ascii="Times New Roman" w:hAnsi="Times New Roman"/>
          <w:b/>
          <w:sz w:val="20"/>
        </w:rPr>
        <w:t xml:space="preserve">PROPOSAL NO. 3 </w:t>
      </w:r>
    </w:p>
    <w:p>
      <w:pPr>
        <w:pStyle w:val="TextBody"/>
        <w:bidi w:val="0"/>
        <w:spacing w:before="0" w:after="0"/>
        <w:jc w:val="center"/>
        <w:rPr>
          <w:rFonts w:ascii="Times New Roman" w:hAnsi="Times New Roman"/>
          <w:b/>
          <w:sz w:val="20"/>
        </w:rPr>
      </w:pPr>
      <w:r>
        <w:rPr>
          <w:rFonts w:ascii="Times New Roman" w:hAnsi="Times New Roman"/>
          <w:b/>
          <w:sz w:val="20"/>
        </w:rPr>
        <w:t xml:space="preserve">APPROVAL OF 2025 EMPLOYEE STOCK PURCHASE PLAN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asking our shareholders to approve the Kestra Medical Technologies, Ltd. 2025 Employee Stock Purchase Plan (the ESPP). </w:t>
      </w:r>
    </w:p>
    <w:p>
      <w:pPr>
        <w:pStyle w:val="TextBody"/>
        <w:bidi w:val="0"/>
        <w:spacing w:before="240" w:after="0"/>
        <w:jc w:val="left"/>
        <w:rPr>
          <w:rFonts w:ascii="Times New Roman" w:hAnsi="Times New Roman"/>
          <w:sz w:val="20"/>
        </w:rPr>
      </w:pPr>
      <w:r>
        <w:rPr>
          <w:rFonts w:ascii="Times New Roman" w:hAnsi="Times New Roman"/>
          <w:sz w:val="20"/>
        </w:rPr>
        <w:t xml:space="preserve">Upon the recommendation of our compensation committee, the Board adopted the ESPP on June 4, 2025, including an initial reserve of 500,000 common shares for issuance under the ESPP (with annual increases as described in further detail below), subject to the approval of our shareholders at the Annual Meeting. The Board believes that adopting the ESPP is in the best interests of the Company and its shareholders because it will serve as an important tool to attract, retain, reward and motivate talented employees to support our continued success. Additionally, in encouraging share ownership by employees, the ESPP will align the interests of the Companys employees with those of the Companys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plan to offer eligible employees the opportunity to purchase our common shares on a regular basis through payroll deductions under the ESPP. The ESPP is comprised of a Section 423 Component that is intended to be an employee stock purchase plan within the meaning of Section 423(b) of the Internal Revenue Code of 1986, as amended (the Code), and a Non-Section 423 Component that need not satisfy the requirements for an employee stock purchase plan. Approval of the ESPP requires the affirmative FOR vote of a majority of the votes cast by the stockholders present in person or represented by proxy at the meeting and entitled to vote on the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of Failing to Approve the Proposal </w:t>
      </w:r>
    </w:p>
    <w:p>
      <w:pPr>
        <w:pStyle w:val="TextBody"/>
        <w:bidi w:val="0"/>
        <w:spacing w:before="120" w:after="0"/>
        <w:jc w:val="left"/>
        <w:rPr>
          <w:rFonts w:ascii="Times New Roman" w:hAnsi="Times New Roman"/>
          <w:sz w:val="20"/>
        </w:rPr>
      </w:pPr>
      <w:r>
        <w:rPr>
          <w:rFonts w:ascii="Times New Roman" w:hAnsi="Times New Roman"/>
          <w:sz w:val="20"/>
        </w:rPr>
        <w:t xml:space="preserve">If the ESPP is approved by our shareholders at the Annual Meeting, the ESPP will become effective on the date of the Annual Meeting. If the ESPP is not approved by our shareholders at the Annual Meeting, the ESPP will not become effective.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ESPP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major features of the ESPP. This summary is subject to and qualified in its entirety by the specific provisions contained in the full text of the ESPP, which is attached as Annex A to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of our Board administers the ESPP and has full authority to make, administer and interpret such equitable rules and regulations regarding the ESPP as it deems advisable.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Persons eligible to participate in the ESPP are full-time employees of the Company or any of its subsidiaries designated as a participating employer, except for persons who are deemed for purposes of Section 423(b)(3) of the Code to own five percent or more of our voting stock. As of the date of this Proxy Statement, approximately 300 employees are eligible to participate in the ESPP. No employee may exercise an option granted under the Section 423 Component of the ESPP that permits the employee to purchase the Companys common shares having a value of more than $25,000 (determined using the fair market value of the stock at the time such option is granted) in any calendar year, and, unless otherwise determined by the Compensation Committee, in no event may a participant acquire more than 1,000 shares of our common shares in any single Offering Period under the ESPP.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Offering Periods; 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ESPP provides certain offering periods, not to exceed 27 months, as defined within an offering document approved by the Compensation Committee (each an Offering Period, and together the Offering Periods). Eligible employees may elect to become participants in the ESPP by enrolling prior to each Offering Period. At the end of each Offering Period, subject to the terms of the ESPP, the accumulated payroll deductions from each eligible employee who is then a participant in the ESPP are used to automatically purchase shares of the Company at 85% of the lesser of the closing price of the Companys common shares on the first day or last day of the Offering Period. Shares are purchased through the accumulation of payroll deductions of not less than 1% nor more than 15% of each participants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Participation / Cancellation </w:t>
      </w:r>
    </w:p>
    <w:p>
      <w:pPr>
        <w:pStyle w:val="TextBody"/>
        <w:bidi w:val="0"/>
        <w:spacing w:before="120" w:after="0"/>
        <w:jc w:val="left"/>
        <w:rPr>
          <w:rFonts w:ascii="Times New Roman" w:hAnsi="Times New Roman"/>
          <w:sz w:val="20"/>
        </w:rPr>
      </w:pPr>
      <w:r>
        <w:rPr>
          <w:rFonts w:ascii="Times New Roman" w:hAnsi="Times New Roman"/>
          <w:sz w:val="20"/>
        </w:rPr>
        <w:t xml:space="preserve">A participant may only purchase shares under the ESPP during his or her lifetime and the ability to purchase shares under the ESPP is not transferable. Once an employee becomes a participant in the ESPP, that employee will automatically participate in successive Offering Periods until such time as that employee withdraws from the ESPP, becomes ineligible to participate in the ESPP, or his or her employment ceases. A participant may cancel his or her participation in the ESPP with respect to any Offering Period so long as the participants notice of cancellation is received by us at least two weeks prior to the applicable purchase date for an Offering Period. Participation in the ESPP automatically terminates upon a participants termination of employment for any reason. Upon any such cancellation or termination, all accumulated payroll deductions are refunded to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Shares Subject to the Plan </w:t>
      </w:r>
    </w:p>
    <w:p>
      <w:pPr>
        <w:pStyle w:val="TextBody"/>
        <w:bidi w:val="0"/>
        <w:spacing w:before="120" w:after="0"/>
        <w:jc w:val="left"/>
        <w:rPr>
          <w:rFonts w:ascii="Times New Roman" w:hAnsi="Times New Roman"/>
          <w:sz w:val="20"/>
        </w:rPr>
      </w:pPr>
      <w:r>
        <w:rPr>
          <w:rFonts w:ascii="Times New Roman" w:hAnsi="Times New Roman"/>
          <w:sz w:val="20"/>
        </w:rPr>
        <w:t xml:space="preserve">If the ESPP is approved by our shareholders at the Annual Meeting, the aggregate number of the Companys common shares that will initially be reserved for issuance under the ESPP will be 500,000 shares. If our capital structure changes because of a stock dividend, stock split or similar event, the number of shares that can be issued under the ESPP will be appropriately adjusted. Additionally, on January 1st of each year from 2026 to 2035, the share reserve increases by the lesser of (a) 1% of the outstanding shares on the last day of the prior year or (b) a smaller number as determined by the Board, provided the number of common shares that may be issued or transferred pursuant to the rights granted under the Plan (including, for the avoidance of doubt, under the Section 423 Component) shall not exceed an aggregate of 5,000,000 shares, subject to adjustments as described in the foregoing sentence.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change in control, reorganization, merger, amalgamation, consolidation, combination, liquidation, dissolution or similar transaction, the Compensation Committee may, in its discretion, and on such terms and conditions as it deems appropriate, take any such actions as it determines to be appropriate to prevent dilution or enlargement of benefits, including but not limited to the following: (a)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Compensation Committee in its sole discretion; (b) provide that the outstanding options under the ESPP will be assumed by the successor or survivor corporation, or a parent or subsidiary thereof, or will be substituted for similar options covering the stock of the successor or survivor corporation, or a parent or subsidiary thereof, with appropriate adjustments as to the number and kind of shares and prices; (c) make adjustments in the number and type of common shares of the Company (or other securities or property) subject to outstanding options under the ESPP and/or in the terms and conditions of outstanding options and options that may be granted in the future; (d) provide that the offering and any applicable purchase period with respect to which an option relates will be shortened by setting a new exercise date on which such offering or applicable purchase period will end; and (e) provide that all outstanding options shall terminate without being exercised and all amounts in the accounts of participants shall be promptly refunded.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Amendments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may at any time amend, suspend or terminate the ESPP. However, any such termination by the Compensation Committee will not affect a participants ability to purchase shares then outstanding under the ESPP. Certain amendments, such as an increase in the number of shares available for issuance under the ESPP (other than as explicitly provided in the Plan), will not be effective without the approval of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Participation by the Companys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will be eligible to participate in the ESPP on the same terms and conditions as all other participants and will continue to remain eligible, conditioned on approval of the ESPP by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describes U.S. federal income tax consequences of participation in the ESPP but is not a complete description of all U.S. federal tax laws or regulations that may apply and does not address any state or local laws. </w:t>
      </w:r>
    </w:p>
    <w:p>
      <w:pPr>
        <w:pStyle w:val="TextBody"/>
        <w:bidi w:val="0"/>
        <w:spacing w:before="240" w:after="0"/>
        <w:jc w:val="left"/>
        <w:rPr>
          <w:rFonts w:ascii="Times New Roman" w:hAnsi="Times New Roman"/>
          <w:sz w:val="20"/>
        </w:rPr>
      </w:pPr>
      <w:r>
        <w:rPr>
          <w:rFonts w:ascii="Times New Roman" w:hAnsi="Times New Roman"/>
          <w:sz w:val="20"/>
        </w:rPr>
        <w:t xml:space="preserve">The Section 423 Component of the ESPP is intended to qualify as an employee stock purchase plan as defined in Section 423(b) of the Code, which provides that an employee participating in the plan is not required to pay any federal income tax when joining the plan or when purchasing common shares at the end of the Offering Period. The employee is, however, required to pay federal income tax on the difference, if any, between the price at which he or she sells the shares and the price he or she paid for them. If shares acquired under the ESPP are sold more than two years after the first day of the purchase period pursuant to which the shares were purchased, no taxable income results if the sale price is less than the price paid for the shares, and the employee will recognize a long-term capital loss for the difference between the sale price and the purchase price. If the proceeds of the sale are higher than the purchase price, the employee will recognize ordinary income for the year in which the sale occurs equal to the lesser of (a) fifteen percent (15%) of the fair market value of the Companys common shares on the first day of the Offering Period in which the shares were purchased, or (b) the excess of the amount actually received for the shares over the amount paid. In addition, the employee will recognize a long-term capital gain in an amount equal to the difference between the proceeds of the sale and the employees basis in the shares (i.e., the employees purchase price plus the amount taxed to the employee as ordinary income). </w:t>
      </w:r>
    </w:p>
    <w:p>
      <w:pPr>
        <w:pStyle w:val="TextBody"/>
        <w:bidi w:val="0"/>
        <w:spacing w:before="240" w:after="0"/>
        <w:jc w:val="left"/>
        <w:rPr>
          <w:rFonts w:ascii="Times New Roman" w:hAnsi="Times New Roman"/>
          <w:sz w:val="20"/>
        </w:rPr>
      </w:pPr>
      <w:r>
        <w:rPr>
          <w:rFonts w:ascii="Times New Roman" w:hAnsi="Times New Roman"/>
          <w:sz w:val="20"/>
        </w:rPr>
        <w:t xml:space="preserve">If shares acquired under the ESPP are sold within two years of the first day of the purchase period pursuant to which the shares were purchased (a Disqualifying Disposition), the employee will recognize ordinary income equal to the difference between the fair market value of the shares on the last business day of the purchase period in which the shares were purchased and the employees purchase price. This amount is reportable as ordinary income even if no profit was realized on the sale of shares or the shares were sold at a loss. Long-term or short-term (depending on the holding period for the shares) capital gain or loss will be recognized in an amount equal to the difference between the proceeds of sale and the employees basis in the shares (i.e., the fair market value of the shares on the last business day of the purchase period in which the shares were purchased).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generally be entitled to a deduction in the year of a Disqualifying Disposition equal to the amount of ordinary income realized by the participant as a result of such disposition, subject to the satisfaction of any tax-reporting obligations. In all other cases, no deduction is allowed.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benefits or amounts that will be received by or allocated to any individual or group of individuals under the ESPP are not determinable because they depend on the purchase price of our common shares in Offering Periods after the implementation of the ESPP, the market value of our shares on various future dates, the amount of contributions that eligible employees elect to make under the ESPP, and similar factors.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A VOTE FOR THE APPROVAL OF THE ESPP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78457_10"/>
      <w:bookmarkEnd w:id="12"/>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biographical information for our executive officers as of July 7,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07"/>
        <w:gridCol w:w="171"/>
        <w:gridCol w:w="79"/>
        <w:gridCol w:w="352"/>
        <w:gridCol w:w="60"/>
        <w:gridCol w:w="171"/>
        <w:gridCol w:w="6465"/>
      </w:tblGrid>
      <w:tr>
        <w:trPr/>
        <w:tc>
          <w:tcPr>
            <w:tcW w:w="2907"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465" w:type="dxa"/>
            <w:tcBorders/>
            <w:vAlign w:val="center"/>
          </w:tcPr>
          <w:p>
            <w:pPr>
              <w:pStyle w:val="TableContents"/>
              <w:bidi w:val="0"/>
              <w:spacing w:before="0" w:after="283"/>
              <w:jc w:val="left"/>
              <w:rPr>
                <w:sz w:val="4"/>
                <w:szCs w:val="4"/>
              </w:rPr>
            </w:pPr>
            <w:r>
              <w:rPr>
                <w:sz w:val="4"/>
                <w:szCs w:val="4"/>
              </w:rPr>
            </w:r>
          </w:p>
        </w:tc>
      </w:tr>
      <w:tr>
        <w:trPr/>
        <w:tc>
          <w:tcPr>
            <w:tcW w:w="29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71" w:type="dxa"/>
            <w:tcBorders/>
            <w:vAlign w:val="bottom"/>
          </w:tcPr>
          <w:p>
            <w:pPr>
              <w:pStyle w:val="TableContents"/>
              <w:bidi w:val="0"/>
              <w:spacing w:before="0" w:after="283"/>
              <w:jc w:val="left"/>
              <w:rPr/>
            </w:pPr>
            <w:r>
              <w:rPr/>
              <w:t>  </w:t>
            </w:r>
          </w:p>
        </w:tc>
        <w:tc>
          <w:tcPr>
            <w:tcW w:w="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46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Webster</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4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tc>
      </w:tr>
      <w:tr>
        <w:trPr/>
        <w:tc>
          <w:tcPr>
            <w:tcW w:w="2907" w:type="dxa"/>
            <w:tcBorders/>
          </w:tcPr>
          <w:p>
            <w:pPr>
              <w:pStyle w:val="TableContents"/>
              <w:bidi w:val="0"/>
              <w:spacing w:before="0" w:after="0"/>
              <w:jc w:val="left"/>
              <w:rPr>
                <w:rFonts w:ascii="Times New Roman" w:hAnsi="Times New Roman"/>
                <w:sz w:val="20"/>
              </w:rPr>
            </w:pPr>
            <w:r>
              <w:rPr>
                <w:rFonts w:ascii="Times New Roman" w:hAnsi="Times New Roman"/>
                <w:sz w:val="20"/>
              </w:rPr>
              <w:t>Vaseem Mahboob</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465"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2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Traci S. Umberger</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4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Counsel, Chief Administrative Officer, and Director</w:t>
            </w:r>
          </w:p>
        </w:tc>
      </w:tr>
      <w:tr>
        <w:trPr/>
        <w:tc>
          <w:tcPr>
            <w:tcW w:w="2907" w:type="dxa"/>
            <w:tcBorders/>
          </w:tcPr>
          <w:p>
            <w:pPr>
              <w:pStyle w:val="TableContents"/>
              <w:bidi w:val="0"/>
              <w:spacing w:before="0" w:after="0"/>
              <w:jc w:val="left"/>
              <w:rPr>
                <w:rFonts w:ascii="Times New Roman" w:hAnsi="Times New Roman"/>
                <w:sz w:val="20"/>
              </w:rPr>
            </w:pPr>
            <w:r>
              <w:rPr>
                <w:rFonts w:ascii="Times New Roman" w:hAnsi="Times New Roman"/>
                <w:sz w:val="20"/>
              </w:rPr>
              <w:t>Al Ford</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465" w:type="dxa"/>
            <w:tcBorders/>
          </w:tcPr>
          <w:p>
            <w:pPr>
              <w:pStyle w:val="TableContents"/>
              <w:bidi w:val="0"/>
              <w:spacing w:before="0" w:after="0"/>
              <w:jc w:val="left"/>
              <w:rPr>
                <w:rFonts w:ascii="Times New Roman" w:hAnsi="Times New Roman"/>
                <w:sz w:val="20"/>
              </w:rPr>
            </w:pPr>
            <w:r>
              <w:rPr>
                <w:rFonts w:ascii="Times New Roman" w:hAnsi="Times New Roman"/>
                <w:sz w:val="20"/>
              </w:rPr>
              <w:t>Chief Commercial Officer</w:t>
            </w:r>
          </w:p>
        </w:tc>
      </w:tr>
    </w:tbl>
    <w:p>
      <w:pPr>
        <w:pStyle w:val="TextBody"/>
        <w:bidi w:val="0"/>
        <w:spacing w:before="240" w:after="0"/>
        <w:jc w:val="left"/>
        <w:rPr>
          <w:rFonts w:ascii="Times New Roman" w:hAnsi="Times New Roman"/>
          <w:sz w:val="20"/>
        </w:rPr>
      </w:pPr>
      <w:r>
        <w:rPr>
          <w:rFonts w:ascii="Times New Roman" w:hAnsi="Times New Roman"/>
          <w:sz w:val="20"/>
        </w:rPr>
        <w:t>The biographical information of Mr. Webster and Ms. Umberger is included above under </w:t>
      </w:r>
      <w:r>
        <w:rPr>
          <w:rFonts w:ascii="Times New Roman" w:hAnsi="Times New Roman"/>
          <w:i/>
          <w:sz w:val="20"/>
        </w:rPr>
        <w:t>Proposal No.</w:t>
      </w:r>
      <w:r>
        <w:rPr>
          <w:rFonts w:ascii="Times New Roman" w:hAnsi="Times New Roman"/>
          <w:sz w:val="20"/>
        </w:rPr>
        <w:t> </w:t>
      </w:r>
      <w:r>
        <w:rPr>
          <w:rFonts w:ascii="Times New Roman" w:hAnsi="Times New Roman"/>
          <w:i/>
          <w:sz w:val="20"/>
        </w:rPr>
        <w:t>1 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Vaseem Mahboob </w:t>
      </w:r>
      <w:r>
        <w:rPr>
          <w:rFonts w:ascii="Times New Roman" w:hAnsi="Times New Roman"/>
          <w:sz w:val="20"/>
        </w:rPr>
        <w:t xml:space="preserve">is our Chief Financial Officer. Mr. Mahboob has served in this role at Kestra Medical Technologies, Ltd. since 2021. Mr. Mahboob has over 23 years of finance leadership experience. Prior to joining our company, Mr. Mahboob served as the Executive Vice President, Chief Financial Officer and Chief Operations Officer of DIH Technology Ltd. from 2020 to 2021. From 2015 to 2020, Mr. Mahboob served as the Chief Financial Officer of ENDOLOGIX Inc. ENDOLOGIX Inc. filed for Chapter 11 bankruptcy protection with the United States Bankruptcy Court for the Northern District of Texas in July 2020. Mr. Mahboob was also a member of the board of directors and the audit committee chair for INSYS Therapeutics from 2018 to 2019. Prior to ENDOLOGIX Inc., Mr. Mahboob held various positions at GE Healthcare, including as the Chief Financial Officer of the Global Magnetic Resonance Business from 2006 to 2010, as Chief Financial Officer of the Global Ultrasound Business from 2010 to 2012, as Chief Financial Officer of the Eastern and African Growth Markets from 2013 to 2015 and as Chief Financial Officer of GE Healthcare IT from June 2015 to September 2015. Mr. Mahboob received his M.B.A. in Financial Markets and Institutions and Information Systems from the Jacobs School of Management at the State University of New York. </w:t>
      </w:r>
    </w:p>
    <w:p>
      <w:pPr>
        <w:pStyle w:val="TextBody"/>
        <w:bidi w:val="0"/>
        <w:spacing w:before="240" w:after="0"/>
        <w:jc w:val="left"/>
        <w:rPr>
          <w:rFonts w:ascii="Times New Roman" w:hAnsi="Times New Roman"/>
          <w:sz w:val="20"/>
        </w:rPr>
      </w:pPr>
      <w:r>
        <w:rPr>
          <w:rFonts w:ascii="Times New Roman" w:hAnsi="Times New Roman"/>
          <w:b/>
          <w:sz w:val="20"/>
        </w:rPr>
        <w:t>Al Ford</w:t>
      </w:r>
      <w:r>
        <w:rPr>
          <w:rFonts w:ascii="Times New Roman" w:hAnsi="Times New Roman"/>
          <w:sz w:val="20"/>
        </w:rPr>
        <w:t xml:space="preserve"> is our Chief Commercial Officer and has served in this role at Kestra Medical Technologies, Ltd. since 2025. Mr. Ford has 20 years of experience driving global strategic sales, marketing, business development, product development, and commercial operations primarily within the medical device industry. Mr. Ford served as Chief Commercial Officer of Axonics, Inc. (Nasdaq: AXNX), a medical device company with implantable technologies to treat bladder and bowel disorders, from 2017 to 2025, Chief Commercial Officer, General Manager and Senior Vice President of Global Sales &amp; Marketing at Cardiac Science Corporation from 2015 to 2017. Mr. Ford received his B.S. in Marketing and his M.S. in International Business from Saint Josephs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78457_11"/>
      <w:bookmarkEnd w:id="13"/>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our named executive officers (NEOs). In the fiscal year ended April 30, 2025, our NEOs include our principal executive officer and the two other most highly compensated executive officers employed as of April 30, 2025. Accordingly, our NEOs and their positions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Brian Webster, our President, Chief Executive Officer and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Vaseem Mahboob, our Chief Financial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Traci S. Umberger, our General Counsel, Chief Administrative Officer and Director.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 </w:t>
      </w:r>
    </w:p>
    <w:p>
      <w:pPr>
        <w:pStyle w:val="TextBody"/>
        <w:bidi w:val="0"/>
        <w:spacing w:before="240" w:after="0"/>
        <w:jc w:val="left"/>
        <w:rPr>
          <w:rFonts w:ascii="Times New Roman" w:hAnsi="Times New Roman"/>
          <w:sz w:val="20"/>
        </w:rPr>
      </w:pPr>
      <w:r>
        <w:rPr>
          <w:rFonts w:ascii="Times New Roman" w:hAnsi="Times New Roman"/>
          <w:sz w:val="20"/>
        </w:rPr>
        <w:t xml:space="preserve">As an emerging growth company, as defined in the Jumpstart Our Business Startups Act of 2012, we are not required to include a Compensation Discussion and Analysis section and have elected to comply with the scaled disclosure requirements applicable to emerging growth companies. </w:t>
      </w:r>
    </w:p>
    <w:p>
      <w:pPr>
        <w:pStyle w:val="TextBody"/>
        <w:bidi w:val="0"/>
        <w:spacing w:before="480" w:after="0"/>
        <w:jc w:val="center"/>
        <w:rPr>
          <w:rFonts w:ascii="Times New Roman" w:hAnsi="Times New Roman"/>
          <w:b/>
          <w:sz w:val="20"/>
        </w:rPr>
      </w:pPr>
      <w:r>
        <w:rPr>
          <w:rFonts w:ascii="Times New Roman" w:hAnsi="Times New Roman"/>
          <w:b/>
          <w:sz w:val="20"/>
        </w:rPr>
        <w:t xml:space="preserve">Summary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concerning the compensation earned by our NEOs during fiscal years 2025 and 2024: </w:t>
      </w:r>
    </w:p>
    <w:p>
      <w:pPr>
        <w:pStyle w:val="TextBody"/>
        <w:bidi w:val="0"/>
        <w:spacing w:before="0" w:after="0"/>
        <w:jc w:val="left"/>
        <w:rPr/>
      </w:pPr>
      <w:r>
        <w:rPr/>
        <w:t> </w:t>
      </w:r>
    </w:p>
    <w:tbl>
      <w:tblPr>
        <w:tblW w:w="10985" w:type="dxa"/>
        <w:jc w:val="center"/>
        <w:tblInd w:w="0" w:type="dxa"/>
        <w:tblLayout w:type="fixed"/>
        <w:tblCellMar>
          <w:top w:w="0" w:type="dxa"/>
          <w:left w:w="0" w:type="dxa"/>
          <w:bottom w:w="0" w:type="dxa"/>
          <w:right w:w="0" w:type="dxa"/>
        </w:tblCellMar>
      </w:tblPr>
      <w:tblGrid>
        <w:gridCol w:w="1520"/>
        <w:gridCol w:w="120"/>
        <w:gridCol w:w="60"/>
        <w:gridCol w:w="500"/>
        <w:gridCol w:w="60"/>
        <w:gridCol w:w="120"/>
        <w:gridCol w:w="84"/>
        <w:gridCol w:w="1121"/>
        <w:gridCol w:w="60"/>
        <w:gridCol w:w="120"/>
        <w:gridCol w:w="70"/>
        <w:gridCol w:w="1285"/>
        <w:gridCol w:w="60"/>
        <w:gridCol w:w="120"/>
        <w:gridCol w:w="145"/>
        <w:gridCol w:w="1945"/>
        <w:gridCol w:w="60"/>
        <w:gridCol w:w="120"/>
        <w:gridCol w:w="163"/>
        <w:gridCol w:w="1852"/>
        <w:gridCol w:w="60"/>
        <w:gridCol w:w="120"/>
        <w:gridCol w:w="60"/>
        <w:gridCol w:w="1100"/>
        <w:gridCol w:w="60"/>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and Principal </w:t>
              <w:br/>
              <w:t>Position</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 ($)(3)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 ($)(4)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1520" w:type="dxa"/>
            <w:vMerge w:val="restart"/>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Webster</w:t>
              <w:br/>
            </w:r>
            <w:r>
              <w:rPr>
                <w:rFonts w:ascii="Times New Roman" w:hAnsi="Times New Roman"/>
                <w:i/>
                <w:sz w:val="20"/>
              </w:rPr>
              <w:t>President, Chief Executive Officer &amp; Director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589,098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17,889,000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945" w:type="dxa"/>
            <w:tcBorders/>
            <w:shd w:fill="CCEEFF" w:val="clear"/>
            <w:vAlign w:val="bottom"/>
          </w:tcPr>
          <w:p>
            <w:pPr>
              <w:pStyle w:val="TableContents"/>
              <w:bidi w:val="0"/>
              <w:spacing w:before="0" w:after="283"/>
              <w:jc w:val="right"/>
              <w:rPr/>
            </w:pPr>
            <w:r>
              <w:rPr/>
              <w:t>359,000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852" w:type="dxa"/>
            <w:tcBorders/>
            <w:shd w:fill="CCEEFF" w:val="clear"/>
            <w:vAlign w:val="bottom"/>
          </w:tcPr>
          <w:p>
            <w:pPr>
              <w:pStyle w:val="TableContents"/>
              <w:bidi w:val="0"/>
              <w:spacing w:before="0" w:after="283"/>
              <w:jc w:val="right"/>
              <w:rPr/>
            </w:pPr>
            <w:r>
              <w:rPr/>
              <w:t>53,632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18,890,730</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522,535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945" w:type="dxa"/>
            <w:tcBorders/>
            <w:shd w:fill="CCEEFF" w:val="clear"/>
            <w:vAlign w:val="bottom"/>
          </w:tcPr>
          <w:p>
            <w:pPr>
              <w:pStyle w:val="TableContents"/>
              <w:bidi w:val="0"/>
              <w:spacing w:before="0" w:after="283"/>
              <w:jc w:val="right"/>
              <w:rPr/>
            </w:pPr>
            <w:r>
              <w:rPr/>
              <w:t>195,951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852" w:type="dxa"/>
            <w:tcBorders/>
            <w:shd w:fill="CCEEFF" w:val="clear"/>
            <w:vAlign w:val="bottom"/>
          </w:tcPr>
          <w:p>
            <w:pPr>
              <w:pStyle w:val="TableContents"/>
              <w:bidi w:val="0"/>
              <w:spacing w:before="0" w:after="283"/>
              <w:jc w:val="right"/>
              <w:rPr/>
            </w:pPr>
            <w:r>
              <w:rPr/>
              <w:t>39,078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757,564</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 xml:space="preserve">Vaseem Mahboob </w:t>
              <w:br/>
            </w:r>
            <w:r>
              <w:rPr>
                <w:rFonts w:ascii="Times New Roman" w:hAnsi="Times New Roman"/>
                <w:i/>
                <w:sz w:val="20"/>
              </w:rPr>
              <w:t>Chief Financial Officer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427,828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1,648,830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945" w:type="dxa"/>
            <w:tcBorders/>
            <w:vAlign w:val="bottom"/>
          </w:tcPr>
          <w:p>
            <w:pPr>
              <w:pStyle w:val="TableContents"/>
              <w:bidi w:val="0"/>
              <w:spacing w:before="0" w:after="283"/>
              <w:jc w:val="right"/>
              <w:rPr/>
            </w:pPr>
            <w:r>
              <w:rPr/>
              <w:t>187,000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852" w:type="dxa"/>
            <w:tcBorders/>
            <w:vAlign w:val="bottom"/>
          </w:tcPr>
          <w:p>
            <w:pPr>
              <w:pStyle w:val="TableContents"/>
              <w:bidi w:val="0"/>
              <w:spacing w:before="0" w:after="283"/>
              <w:jc w:val="right"/>
              <w:rPr/>
            </w:pPr>
            <w:r>
              <w:rPr/>
              <w:t>59,424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2,323,082</w:t>
            </w:r>
          </w:p>
        </w:tc>
        <w:tc>
          <w:tcPr>
            <w:tcW w:w="60" w:type="dxa"/>
            <w:tcBorders/>
            <w:vAlign w:val="bottom"/>
          </w:tcPr>
          <w:p>
            <w:pPr>
              <w:pStyle w:val="TableContents"/>
              <w:bidi w:val="0"/>
              <w:spacing w:before="0" w:after="283"/>
              <w:jc w:val="left"/>
              <w:rPr/>
            </w:pPr>
            <w:r>
              <w:rPr/>
              <w:t> </w:t>
            </w:r>
          </w:p>
        </w:tc>
      </w:tr>
      <w:tr>
        <w:trPr/>
        <w:tc>
          <w:tcPr>
            <w:tcW w:w="152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397,515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945" w:type="dxa"/>
            <w:tcBorders/>
            <w:vAlign w:val="bottom"/>
          </w:tcPr>
          <w:p>
            <w:pPr>
              <w:pStyle w:val="TableContents"/>
              <w:bidi w:val="0"/>
              <w:spacing w:before="0" w:after="283"/>
              <w:jc w:val="right"/>
              <w:rPr/>
            </w:pPr>
            <w:r>
              <w:rPr/>
              <w:t>119,255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852" w:type="dxa"/>
            <w:tcBorders/>
            <w:vAlign w:val="bottom"/>
          </w:tcPr>
          <w:p>
            <w:pPr>
              <w:pStyle w:val="TableContents"/>
              <w:bidi w:val="0"/>
              <w:spacing w:before="0" w:after="283"/>
              <w:jc w:val="right"/>
              <w:rPr/>
            </w:pPr>
            <w:r>
              <w:rPr/>
              <w:t>13,406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530,176</w:t>
            </w:r>
          </w:p>
        </w:tc>
        <w:tc>
          <w:tcPr>
            <w:tcW w:w="60" w:type="dxa"/>
            <w:tcBorders/>
            <w:vAlign w:val="bottom"/>
          </w:tcPr>
          <w:p>
            <w:pPr>
              <w:pStyle w:val="TableContents"/>
              <w:bidi w:val="0"/>
              <w:spacing w:before="0" w:after="283"/>
              <w:jc w:val="left"/>
              <w:rPr/>
            </w:pPr>
            <w:r>
              <w:rPr/>
              <w:t> </w:t>
            </w:r>
          </w:p>
        </w:tc>
      </w:tr>
      <w:tr>
        <w:trPr/>
        <w:tc>
          <w:tcPr>
            <w:tcW w:w="1520" w:type="dxa"/>
            <w:vMerge w:val="restart"/>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Traci S. Umberger </w:t>
              <w:br/>
            </w:r>
            <w:r>
              <w:rPr>
                <w:rFonts w:ascii="Times New Roman" w:hAnsi="Times New Roman"/>
                <w:i/>
                <w:sz w:val="20"/>
              </w:rPr>
              <w:t>General Counsel, Chief Administrative Officer</w:t>
            </w:r>
            <w:r>
              <w:rPr>
                <w:rFonts w:ascii="Times New Roman" w:hAnsi="Times New Roman"/>
                <w:sz w:val="20"/>
              </w:rPr>
              <w:t> </w:t>
            </w:r>
            <w:r>
              <w:rPr>
                <w:rFonts w:ascii="Times New Roman" w:hAnsi="Times New Roman"/>
                <w:i/>
                <w:sz w:val="20"/>
              </w:rPr>
              <w:t>&amp; Director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401,411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5,437,050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945" w:type="dxa"/>
            <w:tcBorders/>
            <w:shd w:fill="CCEEFF" w:val="clear"/>
            <w:vAlign w:val="bottom"/>
          </w:tcPr>
          <w:p>
            <w:pPr>
              <w:pStyle w:val="TableContents"/>
              <w:bidi w:val="0"/>
              <w:spacing w:before="0" w:after="283"/>
              <w:jc w:val="right"/>
              <w:rPr/>
            </w:pPr>
            <w:r>
              <w:rPr/>
              <w:t>179,000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852" w:type="dxa"/>
            <w:tcBorders/>
            <w:shd w:fill="CCEEFF" w:val="clear"/>
            <w:vAlign w:val="bottom"/>
          </w:tcPr>
          <w:p>
            <w:pPr>
              <w:pStyle w:val="TableContents"/>
              <w:bidi w:val="0"/>
              <w:spacing w:before="0" w:after="283"/>
              <w:jc w:val="right"/>
              <w:rPr/>
            </w:pPr>
            <w:r>
              <w:rPr/>
              <w:t>50,128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6,067,589</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364,395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945" w:type="dxa"/>
            <w:tcBorders/>
            <w:shd w:fill="CCEEFF" w:val="clear"/>
            <w:vAlign w:val="bottom"/>
          </w:tcPr>
          <w:p>
            <w:pPr>
              <w:pStyle w:val="TableContents"/>
              <w:bidi w:val="0"/>
              <w:spacing w:before="0" w:after="283"/>
              <w:jc w:val="right"/>
              <w:rPr/>
            </w:pPr>
            <w:r>
              <w:rPr/>
              <w:t>109,319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852" w:type="dxa"/>
            <w:tcBorders/>
            <w:shd w:fill="CCEEFF" w:val="clear"/>
            <w:vAlign w:val="bottom"/>
          </w:tcPr>
          <w:p>
            <w:pPr>
              <w:pStyle w:val="TableContents"/>
              <w:bidi w:val="0"/>
              <w:spacing w:before="0" w:after="283"/>
              <w:jc w:val="right"/>
              <w:rPr/>
            </w:pPr>
            <w:r>
              <w:rPr/>
              <w:t>24,575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498,289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in this column represent the base salary paid to each of our named executive officers during the fiscal year ended April 30, 2025, reflecting each respective NEOs mid-year salary increase effective March 6, 2025. See the </w:t>
            </w:r>
            <w:r>
              <w:rPr>
                <w:rFonts w:ascii="Times New Roman" w:hAnsi="Times New Roman"/>
                <w:i/>
                <w:sz w:val="20"/>
              </w:rPr>
              <w:t>Narrative to Summary Compensation Table and Outstanding Equity Award and Fiscal Year-End  Employment Agreements</w:t>
            </w:r>
            <w:r>
              <w:rPr>
                <w:rFonts w:ascii="Times New Roman" w:hAnsi="Times New Roman"/>
                <w:sz w:val="20"/>
              </w:rPr>
              <w:t xml:space="preserve"> section below for further detail on the mid-year base salary increase for our NEOs.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Amounts in this column represent the aggregate grant date fair value of option awards granted to our NEOs in the applicable fiscal year, computed in accordance with FASB ASC Topic 718. We provide information regarding the assumptions used to calculate the value of all option awards made to executive officers in Note 12 to our financial statements included in our annual report on Form 10-K filed for the period ended April 30, 2025. See the </w:t>
            </w:r>
            <w:r>
              <w:rPr>
                <w:rFonts w:ascii="Times New Roman" w:hAnsi="Times New Roman"/>
                <w:i/>
                <w:sz w:val="20"/>
              </w:rPr>
              <w:t>Outstanding Equity Awards at Fiscal Year-End</w:t>
            </w:r>
            <w:r>
              <w:rPr>
                <w:rFonts w:ascii="Times New Roman" w:hAnsi="Times New Roman"/>
                <w:sz w:val="20"/>
              </w:rPr>
              <w:t> table below and the </w:t>
            </w:r>
            <w:r>
              <w:rPr>
                <w:rFonts w:ascii="Times New Roman" w:hAnsi="Times New Roman"/>
                <w:i/>
                <w:sz w:val="20"/>
              </w:rPr>
              <w:t>Narrative to Summary Compensation Table and Outstanding Equity Award and Fiscal Year-End  Equity Incentive Compensation</w:t>
            </w:r>
            <w:r>
              <w:rPr>
                <w:rFonts w:ascii="Times New Roman" w:hAnsi="Times New Roman"/>
                <w:sz w:val="20"/>
              </w:rPr>
              <w:t xml:space="preserve"> section below for further details on these grants.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Amounts in this column represent annual performance-based cash bonuses earned by our NEOs in the applicable fiscal year and paid in the subsequent fiscal year. See the </w:t>
            </w:r>
            <w:r>
              <w:rPr>
                <w:rFonts w:ascii="Times New Roman" w:hAnsi="Times New Roman"/>
                <w:i/>
                <w:sz w:val="20"/>
              </w:rPr>
              <w:t>Narrative to Summary Compensation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i/>
              </w:rPr>
              <w:t>Table and Outstanding Equity Award and Fiscal Year-End  Non-Equity Incentive Compensation</w:t>
            </w:r>
            <w:r>
              <w:rPr/>
              <w:t xml:space="preserve"> section below for further details on these bonuses.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reflected in All Other Compensation consist of, for fiscal year 2025, the following perquisites received by our NEOs in the amounts set forth in the following table: (a) a business allowance for monthly automobile use expenses, (b) an employer matching contribution to the 401(k) plan, (c) payments for the cost of premiums for a term life insurance policy paid by us, (d) an annual executive physical with a designated physician, as well as certain additional medical, cardio, and lab tests, and (e) payments for cost premiums for long-term disability insurance paid by us and (f) for Mr. Webster and Mr. Umberger, annual cash compensation of $7,534 and $7,534, respectively, for service as executive directors (See the </w:t>
            </w:r>
            <w:r>
              <w:rPr>
                <w:rFonts w:ascii="Times New Roman" w:hAnsi="Times New Roman"/>
                <w:i/>
                <w:sz w:val="20"/>
              </w:rPr>
              <w:t>Director Compensation</w:t>
            </w:r>
            <w:r>
              <w:rPr>
                <w:rFonts w:ascii="Times New Roman" w:hAnsi="Times New Roman"/>
                <w:sz w:val="20"/>
              </w:rPr>
              <w:t xml:space="preserve"> section above for additional detail about director compensation).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80"/>
        <w:gridCol w:w="135"/>
        <w:gridCol w:w="87"/>
        <w:gridCol w:w="1001"/>
        <w:gridCol w:w="60"/>
        <w:gridCol w:w="135"/>
        <w:gridCol w:w="83"/>
        <w:gridCol w:w="948"/>
        <w:gridCol w:w="60"/>
        <w:gridCol w:w="135"/>
        <w:gridCol w:w="84"/>
        <w:gridCol w:w="975"/>
        <w:gridCol w:w="60"/>
        <w:gridCol w:w="135"/>
        <w:gridCol w:w="90"/>
        <w:gridCol w:w="845"/>
        <w:gridCol w:w="60"/>
        <w:gridCol w:w="135"/>
        <w:gridCol w:w="102"/>
        <w:gridCol w:w="959"/>
        <w:gridCol w:w="60"/>
        <w:gridCol w:w="135"/>
        <w:gridCol w:w="83"/>
        <w:gridCol w:w="794"/>
        <w:gridCol w:w="60"/>
        <w:gridCol w:w="135"/>
        <w:gridCol w:w="120"/>
        <w:gridCol w:w="1376"/>
        <w:gridCol w:w="73"/>
      </w:tblGrid>
      <w:tr>
        <w:trPr/>
        <w:tc>
          <w:tcPr>
            <w:tcW w:w="128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Officer</w:t>
            </w:r>
          </w:p>
        </w:tc>
        <w:tc>
          <w:tcPr>
            <w:tcW w:w="135"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Business</w:t>
              <w:br/>
              <w:t>Allowance</w:t>
              <w:b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401(k)</w:t>
              <w:br/>
              <w:t>Company</w:t>
              <w:br/>
              <w:t>Match</w:t>
              <w:b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Life</w:t>
              <w:br/>
              <w:t>Insurance</w:t>
              <w:br/>
              <w:t>Premiums</w:t>
              <w:b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Physical</w:t>
              <w:br/>
              <w:t>Program</w:t>
              <w:b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pPr>
            <w:r>
              <w:rPr>
                <w:b/>
              </w:rPr>
              <w:t>Disability</w:t>
              <w:br/>
              <w:t>Insurance</w:t>
            </w:r>
            <w:r>
              <w:rPr/>
              <w:br/>
            </w:r>
            <w:r>
              <w:rPr>
                <w:b/>
              </w:rPr>
              <w:t>Premiums</w:t>
            </w:r>
            <w:r>
              <w:rPr/>
              <w:br/>
            </w:r>
            <w:r>
              <w:rPr>
                <w:b/>
              </w:rP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pPr>
            <w:r>
              <w:rPr>
                <w:b/>
              </w:rPr>
              <w:t>Director</w:t>
              <w:br/>
              <w:t>Fees</w:t>
            </w:r>
            <w:r>
              <w:rPr/>
              <w:br/>
            </w:r>
            <w:r>
              <w:rPr>
                <w:b/>
              </w:rP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All</w:t>
              <w:br/>
              <w:t>Other</w:t>
              <w:br/>
              <w:t>Compensation</w:t>
              <w:br/>
              <w:t>($)</w:t>
            </w:r>
          </w:p>
        </w:tc>
        <w:tc>
          <w:tcPr>
            <w:tcW w:w="73"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Brian Webster</w:t>
            </w:r>
          </w:p>
        </w:tc>
        <w:tc>
          <w:tcPr>
            <w:tcW w:w="13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13,200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15,530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12,343</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7,534</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53,632</w:t>
            </w:r>
          </w:p>
        </w:tc>
        <w:tc>
          <w:tcPr>
            <w:tcW w:w="73"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b/>
                <w:sz w:val="20"/>
              </w:rPr>
            </w:pPr>
            <w:r>
              <w:rPr>
                <w:rFonts w:ascii="Times New Roman" w:hAnsi="Times New Roman"/>
                <w:b/>
                <w:sz w:val="20"/>
              </w:rPr>
              <w:t>Vaseem Mahboob</w:t>
            </w:r>
          </w:p>
        </w:tc>
        <w:tc>
          <w:tcPr>
            <w:tcW w:w="13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43,000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14,551</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1,873</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59,424</w:t>
            </w:r>
          </w:p>
        </w:tc>
        <w:tc>
          <w:tcPr>
            <w:tcW w:w="73"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Traci S. Umberger</w:t>
            </w:r>
          </w:p>
        </w:tc>
        <w:tc>
          <w:tcPr>
            <w:tcW w:w="13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12,000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14,357</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3,787</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9,450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7,534</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50,128</w:t>
            </w:r>
          </w:p>
        </w:tc>
        <w:tc>
          <w:tcPr>
            <w:tcW w:w="73" w:type="dxa"/>
            <w:tcBorders/>
            <w:shd w:fill="CCEEFF" w:val="clear"/>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number of common shares underlying outstanding equity incentive plan awards for each NEO as of April 30,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978"/>
        <w:gridCol w:w="168"/>
        <w:gridCol w:w="143"/>
        <w:gridCol w:w="2338"/>
        <w:gridCol w:w="60"/>
        <w:gridCol w:w="168"/>
        <w:gridCol w:w="173"/>
        <w:gridCol w:w="2308"/>
        <w:gridCol w:w="60"/>
        <w:gridCol w:w="168"/>
        <w:gridCol w:w="83"/>
        <w:gridCol w:w="791"/>
        <w:gridCol w:w="60"/>
        <w:gridCol w:w="168"/>
        <w:gridCol w:w="107"/>
        <w:gridCol w:w="1548"/>
        <w:gridCol w:w="67"/>
      </w:tblGrid>
      <w:tr>
        <w:trPr/>
        <w:tc>
          <w:tcPr>
            <w:tcW w:w="978"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9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68" w:type="dxa"/>
            <w:tcBorders/>
            <w:vAlign w:val="bottom"/>
          </w:tcPr>
          <w:p>
            <w:pPr>
              <w:pStyle w:val="TableContents"/>
              <w:bidi w:val="0"/>
              <w:spacing w:before="0" w:after="283"/>
              <w:jc w:val="left"/>
              <w:rPr/>
            </w:pPr>
            <w:r>
              <w:rPr/>
              <w:t>  </w:t>
            </w:r>
          </w:p>
        </w:tc>
        <w:tc>
          <w:tcPr>
            <w:tcW w:w="2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Underlying Unexercised</w:t>
              <w:br/>
              <w:t>Options (#)</w:t>
              <w:br/>
              <w:t>Exercisable(1)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Underlying Unexercised</w:t>
              <w:br/>
              <w:t>Options (#)</w:t>
              <w:br/>
              <w:t>Unexercisable(1)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 Date</w:t>
            </w:r>
          </w:p>
        </w:tc>
        <w:tc>
          <w:tcPr>
            <w:tcW w:w="67" w:type="dxa"/>
            <w:tcBorders/>
            <w:vAlign w:val="bottom"/>
          </w:tcPr>
          <w:p>
            <w:pPr>
              <w:pStyle w:val="TableContents"/>
              <w:bidi w:val="0"/>
              <w:spacing w:before="0" w:after="283"/>
              <w:jc w:val="left"/>
              <w:rPr/>
            </w:pPr>
            <w:r>
              <w:rPr/>
              <w:t> </w:t>
            </w:r>
          </w:p>
        </w:tc>
      </w:tr>
      <w:tr>
        <w:trPr/>
        <w:tc>
          <w:tcPr>
            <w:tcW w:w="9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Webster</w:t>
            </w:r>
          </w:p>
        </w:tc>
        <w:tc>
          <w:tcPr>
            <w:tcW w:w="16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38" w:type="dxa"/>
            <w:tcBorders/>
            <w:shd w:fill="CCEEFF" w:val="clear"/>
            <w:vAlign w:val="bottom"/>
          </w:tcPr>
          <w:p>
            <w:pPr>
              <w:pStyle w:val="TableContents"/>
              <w:bidi w:val="0"/>
              <w:spacing w:before="0" w:after="283"/>
              <w:jc w:val="right"/>
              <w:rPr/>
            </w:pPr>
            <w:r>
              <w:rPr/>
              <w:t>1,068,000</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308" w:type="dxa"/>
            <w:tcBorders/>
            <w:shd w:fill="CCEEFF" w:val="clear"/>
            <w:vAlign w:val="bottom"/>
          </w:tcPr>
          <w:p>
            <w:pPr>
              <w:pStyle w:val="TableContents"/>
              <w:bidi w:val="0"/>
              <w:spacing w:before="0" w:after="283"/>
              <w:jc w:val="right"/>
              <w:rPr/>
            </w:pPr>
            <w:r>
              <w:rPr/>
              <w:t>712,000</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17.00</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548" w:type="dxa"/>
            <w:tcBorders/>
            <w:shd w:fill="CCEEFF" w:val="clear"/>
            <w:vAlign w:val="bottom"/>
          </w:tcPr>
          <w:p>
            <w:pPr>
              <w:pStyle w:val="TableContents"/>
              <w:bidi w:val="0"/>
              <w:spacing w:before="0" w:after="283"/>
              <w:jc w:val="right"/>
              <w:rPr/>
            </w:pPr>
            <w:r>
              <w:rPr/>
              <w:t>3/6/2035</w:t>
            </w:r>
          </w:p>
        </w:tc>
        <w:tc>
          <w:tcPr>
            <w:tcW w:w="67" w:type="dxa"/>
            <w:tcBorders/>
            <w:shd w:fill="CCEEFF" w:val="clear"/>
            <w:vAlign w:val="bottom"/>
          </w:tcPr>
          <w:p>
            <w:pPr>
              <w:pStyle w:val="TableContents"/>
              <w:bidi w:val="0"/>
              <w:spacing w:before="0" w:after="283"/>
              <w:jc w:val="left"/>
              <w:rPr/>
            </w:pPr>
            <w:r>
              <w:rPr/>
              <w:t> </w:t>
            </w:r>
          </w:p>
        </w:tc>
      </w:tr>
      <w:tr>
        <w:trPr/>
        <w:tc>
          <w:tcPr>
            <w:tcW w:w="978" w:type="dxa"/>
            <w:tcBorders/>
          </w:tcPr>
          <w:p>
            <w:pPr>
              <w:pStyle w:val="TableContents"/>
              <w:bidi w:val="0"/>
              <w:spacing w:before="0" w:after="0"/>
              <w:jc w:val="left"/>
              <w:rPr>
                <w:rFonts w:ascii="Times New Roman" w:hAnsi="Times New Roman"/>
                <w:sz w:val="20"/>
              </w:rPr>
            </w:pPr>
            <w:r>
              <w:rPr>
                <w:rFonts w:ascii="Times New Roman" w:hAnsi="Times New Roman"/>
                <w:sz w:val="20"/>
              </w:rPr>
              <w:t>Vaseem Mahboob</w:t>
            </w:r>
          </w:p>
        </w:tc>
        <w:tc>
          <w:tcPr>
            <w:tcW w:w="16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pPr>
            <w:r>
              <w:rPr/>
              <w:t>159,000</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17.00</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48" w:type="dxa"/>
            <w:tcBorders/>
            <w:vAlign w:val="bottom"/>
          </w:tcPr>
          <w:p>
            <w:pPr>
              <w:pStyle w:val="TableContents"/>
              <w:bidi w:val="0"/>
              <w:spacing w:before="0" w:after="283"/>
              <w:jc w:val="right"/>
              <w:rPr/>
            </w:pPr>
            <w:r>
              <w:rPr/>
              <w:t>3/6/2035</w:t>
            </w:r>
          </w:p>
        </w:tc>
        <w:tc>
          <w:tcPr>
            <w:tcW w:w="67" w:type="dxa"/>
            <w:tcBorders/>
            <w:vAlign w:val="bottom"/>
          </w:tcPr>
          <w:p>
            <w:pPr>
              <w:pStyle w:val="TableContents"/>
              <w:bidi w:val="0"/>
              <w:spacing w:before="0" w:after="283"/>
              <w:jc w:val="left"/>
              <w:rPr/>
            </w:pPr>
            <w:r>
              <w:rPr/>
              <w:t> </w:t>
            </w:r>
          </w:p>
        </w:tc>
      </w:tr>
      <w:tr>
        <w:trPr/>
        <w:tc>
          <w:tcPr>
            <w:tcW w:w="9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Traci S. Umberger</w:t>
            </w:r>
          </w:p>
        </w:tc>
        <w:tc>
          <w:tcPr>
            <w:tcW w:w="16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38" w:type="dxa"/>
            <w:tcBorders/>
            <w:shd w:fill="CCEEFF" w:val="clear"/>
            <w:vAlign w:val="bottom"/>
          </w:tcPr>
          <w:p>
            <w:pPr>
              <w:pStyle w:val="TableContents"/>
              <w:bidi w:val="0"/>
              <w:spacing w:before="0" w:after="283"/>
              <w:jc w:val="right"/>
              <w:rPr/>
            </w:pPr>
            <w:r>
              <w:rPr/>
              <w:t>324,600</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308" w:type="dxa"/>
            <w:tcBorders/>
            <w:shd w:fill="CCEEFF" w:val="clear"/>
            <w:vAlign w:val="bottom"/>
          </w:tcPr>
          <w:p>
            <w:pPr>
              <w:pStyle w:val="TableContents"/>
              <w:bidi w:val="0"/>
              <w:spacing w:before="0" w:after="283"/>
              <w:jc w:val="right"/>
              <w:rPr/>
            </w:pPr>
            <w:r>
              <w:rPr/>
              <w:t>216,400</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17.00</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548" w:type="dxa"/>
            <w:tcBorders/>
            <w:shd w:fill="CCEEFF" w:val="clear"/>
            <w:vAlign w:val="bottom"/>
          </w:tcPr>
          <w:p>
            <w:pPr>
              <w:pStyle w:val="TableContents"/>
              <w:bidi w:val="0"/>
              <w:spacing w:before="0" w:after="283"/>
              <w:jc w:val="right"/>
              <w:rPr/>
            </w:pPr>
            <w:r>
              <w:rPr/>
              <w:t>3/6/2035</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options reported in this table are the IPO Options granted to each NEO on March 6, 2025 in connection with our initial public offering. The IPO Options granted to Mr. Webster and Ms. Umberger were 60% fully vested upon grant, and the remaining 40% will vest ratably on each of the first and second anniversaries of the grant date, generally subject to continued service with the Company. The IPO Options granted to Mr. Mahboob vest over two years, with 50% of the options vesting on the one-year anniversary of the grant date and the remaining 50% vesting monthly thereafter, generally subject to continued service with the Company.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2025 Summary Compensation Table and Outstanding Equity Awards at 2025 Fiscal Year End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On October 17, 2016, Kestra Medical Technologies, Inc. entered into an employment agreement with Mr. Webster to serve as the Chief Executive Officer of Kestra Medical Technologies, Inc. The initial term of his employment agreement expired on December 31, 2020; however, the employment agreement provides for automatic successive one-year renewals unless either party provides 90 days prior written notice. Mr. Websters employment agreement provides for an initial annual base salary of $400,000 (which is subject to review by the Board at least annually for possible increase and was previously increased to $555,272 and then subsequently increased to $760,000 effective March 6, 2025), as well as eligibility for Mr. Webster to earn an annual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bonus with a target bonus opportunity equal to a specified percentage of base salary as described below in the Non-Equity Incentive Plan Compensation section.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10, 2021, Kestra Medical Technologies, Inc. entered into an employment agreement with Mr. Mahboob to serve as the Chief Financial Officer of Kestra Medical Technologies, Inc. The initial term of his employment agreement expired on April 30, 2025, and the employment agreement provides for automatic successive one-year renewals unless either party provides 90 days prior written notice. Mr. Mahboobs employment agreement provides for an initial annual base salary of $375,000 (which is subject to review by the Board at least annually for possible increase and was previously increased to $421,443 and subsequently increased to $470,000 effective March 6, 2025), as well as eligibility for Mr. Mahboob to earn an annual cash bonus with a target bonus opportunity equal to a specified percentage of base salary as described below in the Non-Equity Incentive Plan Compensation section.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26, 2016, Kestra Medical Technologies, Inc. entered into an employment agreement with Ms. Umberger to serve as the General Counsel, Chief Administrative Officer of Kestra Medical Technologies, Inc. The initial term of her employment agreement expired on December 31, 2020; however, the employment agreement provides for automatic successive one-year renewals unless either party provides 90 days prior written notice. Ms. Umbergers employment agreement provides for an initial annual base salary of $260,000 (which is subject to review by the Board at least annually for possible increase and was previously increased to $387,225 and subsequently increased to $500,000 effective March 6, 2025), as well as eligibility for Ms. Umberger to earn a target bonus opportunity equal to a specified percentage of base salary as described below in the Non-Equity Incentive Plan Compensation section. </w:t>
      </w:r>
    </w:p>
    <w:p>
      <w:pPr>
        <w:pStyle w:val="TextBody"/>
        <w:bidi w:val="0"/>
        <w:spacing w:before="240" w:after="0"/>
        <w:jc w:val="left"/>
        <w:rPr>
          <w:rFonts w:ascii="Times New Roman" w:hAnsi="Times New Roman"/>
          <w:sz w:val="20"/>
        </w:rPr>
      </w:pPr>
      <w:r>
        <w:rPr>
          <w:rFonts w:ascii="Times New Roman" w:hAnsi="Times New Roman"/>
          <w:sz w:val="20"/>
        </w:rPr>
        <w:t xml:space="preserve">Upon a termination due to death or disability Mr. Webster, Mr. Mahboob, and Ms. Umberger are entitled to receive a pro rata portion of their respective annual cash bonus for the calendar year of termination, based on actual achievement. Upon a termination by Kestra Medical Technologies, Inc. without Cause, resignation by the NEO for Good Reason (each as defined in the employment agreement), or non-renewal of the employment agreement term by Kestra Medical Technologies, Inc., subject to the NEOs timely execution and non-revocation of a release of claims in Kestra Medical Technologies, Inc.s favor and their continued compliance with the restrictive covenants set forth in the employment agreement (as described below), Mr. Webster, Mr. Mahboob, and Ms. Umberger respectively are entitled to receive (i) a cash payment equal to two times (or for Mr. Mahboob, one times) the sum of their respective current (x) base salary and (y) target annual bonus, payable in equal monthly installments for a period of 12 months following termination, and (ii) continued participation in Kestra Medical Technologies, Inc.s group health plan for 12 months (or for Mr. Mahboob, six months)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receive the severance benefits set forth above, the NEO must (a) execute a general release of claims in favor of the Company and (b) comply with the restrictive covenants set forth in the NEOs employment agreement, which consist of the following: (i) non-competition, and non-solicitation and non-hire of employees (and for Mr. Webster and Ms. Umberger only, or service providers), in each case, during employment and for two years (or for Mr. Mahboob, one year) following termination, (ii) perpetual mutual non-disparagement, (iii) perpetual non-disclosure of confidential information, and (iv) assignment of intellectual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Benefit Plans and Policies </w:t>
      </w:r>
    </w:p>
    <w:p>
      <w:pPr>
        <w:pStyle w:val="TextBody"/>
        <w:bidi w:val="0"/>
        <w:spacing w:before="120" w:after="0"/>
        <w:jc w:val="left"/>
        <w:rPr>
          <w:rFonts w:ascii="Times New Roman" w:hAnsi="Times New Roman"/>
          <w:sz w:val="20"/>
        </w:rPr>
      </w:pPr>
      <w:r>
        <w:rPr>
          <w:rFonts w:ascii="Times New Roman" w:hAnsi="Times New Roman"/>
          <w:sz w:val="20"/>
        </w:rPr>
        <w:t xml:space="preserve">Each of the NEOs participates in the Kestra Medical Technologies, Inc.s Executive Benefits Policy, which provides for a matching employer contribution under the Companys 401(k) plan, and medical, vision, dental, life and accidental death and dismemberment insurance, disability and a flexible savings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Non-Equity Incentive Plan Compensation </w:t>
      </w:r>
    </w:p>
    <w:p>
      <w:pPr>
        <w:pStyle w:val="TextBody"/>
        <w:bidi w:val="0"/>
        <w:spacing w:before="120" w:after="0"/>
        <w:jc w:val="left"/>
        <w:rPr>
          <w:rFonts w:ascii="Times New Roman" w:hAnsi="Times New Roman"/>
          <w:sz w:val="20"/>
        </w:rPr>
      </w:pPr>
      <w:r>
        <w:rPr>
          <w:rFonts w:ascii="Times New Roman" w:hAnsi="Times New Roman"/>
          <w:sz w:val="20"/>
        </w:rPr>
        <w:t xml:space="preserve">Mr. Webster, Mr. Mahboob, and Ms. Umberger are each eligible to receive an annual cash bonus during each fiscal year, with a target annual bonus opportunity equal to 50%, 40% and 40% of the annual base salary, respectively. The performance goals for all Kestra Medical Technologies, Ltd. employees (including our NEOs) are defined for each quarter, based on the performance of the overall company (and the applicable division of the company) and the applicable individual. Any annual bonus payable to Mr. Webster, Mr. Mahboob, and Ms. Umberger are paid following completion of the fiscal year to which performance relates, subject to the Board of Directors determination of achievement of the applicable performance goals. For the 2025 fiscal year annual bonus, the Board determined that the applicable performance goals for each NEO was achieved at 100% of the executives target annual bonus. Our NEOs target bonuses for the 2025 fiscal year (and the corresponding payouts) reflect their base salary increases during such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initial public offering, the Board adopted, and our shareholders approved, the 2025 Omnibus Incentive Plan (the 2025 Plan) pursuant to which current and former employees, consultants and directors of our company and our affiliates performing services for us, including our NEOs, are eligible to receive awards. The 2025 Plan provides for the grant of share options, share appreciation rights, restricted shares, restricted share units, bonus shares, dividend equivalents, other share-based awards, substitute awards, annual incentive awards and performance awards intended to align the interests of participants with those of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initial public offering, on March 6, 2025, the Board made a one-time grant of stock options to our NEOs and certain other employees (the IPO Options). The IPO Options granted to Mr. Webster and Ms. Umberger were 60% fully vested upon grant, and the remaining 40% will vest ratably on each of the first and second anniversary of the grant date. The IPO Options granted to Mr. Mahboob vest over two years, with 50% of the options vesting on the one-year anniversary of the grant date and the remaining 50% vesting monthly thereafter. Upon the executives termination of service for any reason other than the executives death or Disability (as defined in the 2025 Plan), all unvested IPO Options will automatically terminate and be forfeited. In the event of the executives termination of service due to the executives death or Disability or upon a Change in Control (as defined in the 2025 Plan), all unvested IPO Options will automatically become vested. Each IPO Option has an exercise price of $17.00, equal to the initial public offering price. The number of IPO Options granted to each NEO is set forth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3"/>
        <w:gridCol w:w="326"/>
        <w:gridCol w:w="74"/>
        <w:gridCol w:w="1233"/>
        <w:gridCol w:w="63"/>
      </w:tblGrid>
      <w:tr>
        <w:trPr/>
        <w:tc>
          <w:tcPr>
            <w:tcW w:w="5243"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326"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IPO Options</w:t>
            </w:r>
          </w:p>
        </w:tc>
        <w:tc>
          <w:tcPr>
            <w:tcW w:w="63" w:type="dxa"/>
            <w:tcBorders/>
            <w:vAlign w:val="bottom"/>
          </w:tcPr>
          <w:p>
            <w:pPr>
              <w:pStyle w:val="TableContents"/>
              <w:bidi w:val="0"/>
              <w:spacing w:before="0" w:after="283"/>
              <w:jc w:val="left"/>
              <w:rPr/>
            </w:pPr>
            <w:r>
              <w:rPr/>
              <w:t> </w:t>
            </w:r>
          </w:p>
        </w:tc>
      </w:tr>
      <w:tr>
        <w:trPr/>
        <w:tc>
          <w:tcPr>
            <w:tcW w:w="5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Webster</w:t>
            </w:r>
          </w:p>
        </w:tc>
        <w:tc>
          <w:tcPr>
            <w:tcW w:w="3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1,780,000</w:t>
            </w:r>
          </w:p>
        </w:tc>
        <w:tc>
          <w:tcPr>
            <w:tcW w:w="63" w:type="dxa"/>
            <w:tcBorders/>
            <w:shd w:fill="CCEEFF" w:val="clear"/>
            <w:vAlign w:val="bottom"/>
          </w:tcPr>
          <w:p>
            <w:pPr>
              <w:pStyle w:val="TableContents"/>
              <w:bidi w:val="0"/>
              <w:spacing w:before="0" w:after="283"/>
              <w:jc w:val="left"/>
              <w:rPr/>
            </w:pPr>
            <w:r>
              <w:rPr/>
              <w:t> </w:t>
            </w:r>
          </w:p>
        </w:tc>
      </w:tr>
      <w:tr>
        <w:trPr/>
        <w:tc>
          <w:tcPr>
            <w:tcW w:w="5243" w:type="dxa"/>
            <w:tcBorders/>
          </w:tcPr>
          <w:p>
            <w:pPr>
              <w:pStyle w:val="TableContents"/>
              <w:bidi w:val="0"/>
              <w:spacing w:before="0" w:after="0"/>
              <w:jc w:val="left"/>
              <w:rPr>
                <w:rFonts w:ascii="Times New Roman" w:hAnsi="Times New Roman"/>
                <w:sz w:val="20"/>
              </w:rPr>
            </w:pPr>
            <w:r>
              <w:rPr>
                <w:rFonts w:ascii="Times New Roman" w:hAnsi="Times New Roman"/>
                <w:sz w:val="20"/>
              </w:rPr>
              <w:t>Vaseem Mahboob</w:t>
            </w:r>
          </w:p>
        </w:tc>
        <w:tc>
          <w:tcPr>
            <w:tcW w:w="3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159,000</w:t>
            </w:r>
          </w:p>
        </w:tc>
        <w:tc>
          <w:tcPr>
            <w:tcW w:w="63" w:type="dxa"/>
            <w:tcBorders/>
            <w:vAlign w:val="bottom"/>
          </w:tcPr>
          <w:p>
            <w:pPr>
              <w:pStyle w:val="TableContents"/>
              <w:bidi w:val="0"/>
              <w:spacing w:before="0" w:after="283"/>
              <w:jc w:val="left"/>
              <w:rPr/>
            </w:pPr>
            <w:r>
              <w:rPr/>
              <w:t> </w:t>
            </w:r>
          </w:p>
        </w:tc>
      </w:tr>
      <w:tr>
        <w:trPr/>
        <w:tc>
          <w:tcPr>
            <w:tcW w:w="5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Traci Umberger</w:t>
            </w:r>
          </w:p>
        </w:tc>
        <w:tc>
          <w:tcPr>
            <w:tcW w:w="3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541,000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future, the Company intends to grant annual long-term incentive equity awards under the 2025 Plan to our executives, including our NEOs, as a key component of our executive compensation program. The first annual awards were granted on June 4, 2025 in the form of RSUs and performance-based restricted stock units. These grants will be included in our disclosure for the fiscal year ending April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approval by our stockholders requested in this Proxy Statement, on June 4, 2025 the Board adopted the Kestra Medical Technologies, Ltd. 2025 Employee Stock Purchase Plan, (the ESPP), which, if adopted by our stockholders, would allow employees, including our NEOs, to purchase our common shares at a discounted rate below fair market value. For additional details on our ESPP, see PROPOSAL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Equity Compensation Plans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certain information as of April 30, 2025, with respect to all of our equity compensation plans in effect on that date: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737"/>
        <w:gridCol w:w="172"/>
        <w:gridCol w:w="111"/>
        <w:gridCol w:w="1857"/>
        <w:gridCol w:w="60"/>
        <w:gridCol w:w="172"/>
        <w:gridCol w:w="385"/>
        <w:gridCol w:w="1567"/>
        <w:gridCol w:w="60"/>
        <w:gridCol w:w="172"/>
        <w:gridCol w:w="124"/>
        <w:gridCol w:w="2090"/>
        <w:gridCol w:w="65"/>
      </w:tblGrid>
      <w:tr>
        <w:trPr/>
        <w:tc>
          <w:tcPr>
            <w:tcW w:w="173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7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72" w:type="dxa"/>
            <w:tcBorders/>
            <w:vAlign w:val="bottom"/>
          </w:tcPr>
          <w:p>
            <w:pPr>
              <w:pStyle w:val="TableContents"/>
              <w:bidi w:val="0"/>
              <w:spacing w:before="0" w:after="283"/>
              <w:jc w:val="left"/>
              <w:rPr/>
            </w:pPr>
            <w:r>
              <w:rPr/>
              <w:t> </w:t>
            </w:r>
          </w:p>
        </w:tc>
        <w:tc>
          <w:tcPr>
            <w:tcW w:w="1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 to</w:t>
              <w:br/>
              <w:t>be Issued</w:t>
              <w:br/>
              <w:t>Upon Exercise of</w:t>
              <w:br/>
              <w:t>Outstanding</w:t>
              <w:br/>
              <w:t>Options, Warrants</w:t>
              <w:br/>
              <w:t>and Rights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 of</w:t>
              <w:br/>
              <w:t>Outstanding</w:t>
              <w:br/>
              <w:t>Options,</w:t>
              <w:br/>
              <w:t>Warrants and</w:t>
              <w:br/>
              <w:t>Rights(1)</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Remaining Available</w:t>
              <w:br/>
              <w:t>for Future Issuance</w:t>
              <w:br/>
              <w:t>Under Equity</w:t>
              <w:br/>
              <w:t>Compensation Plans</w:t>
              <w:br/>
              <w:t>(Excluding Securities</w:t>
              <w:br/>
              <w:t>Reflected in</w:t>
              <w:br/>
              <w:t>the First Column)</w:t>
            </w:r>
          </w:p>
        </w:tc>
        <w:tc>
          <w:tcPr>
            <w:tcW w:w="65" w:type="dxa"/>
            <w:tcBorders/>
            <w:vAlign w:val="bottom"/>
          </w:tcPr>
          <w:p>
            <w:pPr>
              <w:pStyle w:val="TableContents"/>
              <w:bidi w:val="0"/>
              <w:spacing w:before="0" w:after="283"/>
              <w:jc w:val="left"/>
              <w:rPr/>
            </w:pPr>
            <w:r>
              <w:rPr/>
              <w:t> </w:t>
            </w:r>
          </w:p>
        </w:tc>
      </w:tr>
      <w:tr>
        <w:trPr/>
        <w:tc>
          <w:tcPr>
            <w:tcW w:w="1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Stockholders(2)(3)</w:t>
            </w:r>
          </w:p>
        </w:tc>
        <w:tc>
          <w:tcPr>
            <w:tcW w:w="17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right"/>
              <w:rPr/>
            </w:pPr>
            <w:r>
              <w:rPr/>
              <w:t>4,649,100</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1567" w:type="dxa"/>
            <w:tcBorders/>
            <w:shd w:fill="CCEEFF" w:val="clear"/>
            <w:vAlign w:val="bottom"/>
          </w:tcPr>
          <w:p>
            <w:pPr>
              <w:pStyle w:val="TableContents"/>
              <w:bidi w:val="0"/>
              <w:spacing w:before="0" w:after="283"/>
              <w:jc w:val="right"/>
              <w:rPr/>
            </w:pPr>
            <w:r>
              <w:rPr/>
              <w:t>17.04</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0" w:type="dxa"/>
            <w:tcBorders/>
            <w:shd w:fill="CCEEFF" w:val="clear"/>
            <w:vAlign w:val="bottom"/>
          </w:tcPr>
          <w:p>
            <w:pPr>
              <w:pStyle w:val="TableContents"/>
              <w:bidi w:val="0"/>
              <w:spacing w:before="0" w:after="283"/>
              <w:jc w:val="right"/>
              <w:rPr/>
            </w:pPr>
            <w:r>
              <w:rPr/>
              <w:t>8,240,900</w:t>
            </w:r>
          </w:p>
        </w:tc>
        <w:tc>
          <w:tcPr>
            <w:tcW w:w="65" w:type="dxa"/>
            <w:tcBorders/>
            <w:shd w:fill="CCEEFF" w:val="clear"/>
            <w:vAlign w:val="bottom"/>
          </w:tcPr>
          <w:p>
            <w:pPr>
              <w:pStyle w:val="TableContents"/>
              <w:bidi w:val="0"/>
              <w:spacing w:before="0" w:after="283"/>
              <w:jc w:val="left"/>
              <w:rPr/>
            </w:pPr>
            <w:r>
              <w:rPr/>
              <w:t> </w:t>
            </w:r>
          </w:p>
        </w:tc>
      </w:tr>
      <w:tr>
        <w:trPr/>
        <w:tc>
          <w:tcPr>
            <w:tcW w:w="1737"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Stockholders (4)</w:t>
            </w:r>
          </w:p>
        </w:tc>
        <w:tc>
          <w:tcPr>
            <w:tcW w:w="17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1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right"/>
              <w:rPr/>
            </w:pPr>
            <w:r>
              <w:rPr/>
              <w:t>4,649,100</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1567" w:type="dxa"/>
            <w:tcBorders/>
            <w:shd w:fill="CCEEFF" w:val="clear"/>
            <w:vAlign w:val="bottom"/>
          </w:tcPr>
          <w:p>
            <w:pPr>
              <w:pStyle w:val="TableContents"/>
              <w:bidi w:val="0"/>
              <w:spacing w:before="0" w:after="283"/>
              <w:jc w:val="right"/>
              <w:rPr/>
            </w:pPr>
            <w:r>
              <w:rPr/>
              <w:t>17.04</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0" w:type="dxa"/>
            <w:tcBorders/>
            <w:shd w:fill="CCEEFF" w:val="clear"/>
            <w:vAlign w:val="bottom"/>
          </w:tcPr>
          <w:p>
            <w:pPr>
              <w:pStyle w:val="TableContents"/>
              <w:bidi w:val="0"/>
              <w:spacing w:before="0" w:after="283"/>
              <w:jc w:val="right"/>
              <w:rPr/>
            </w:pPr>
            <w:r>
              <w:rPr/>
              <w:t>8,240,900</w:t>
            </w:r>
          </w:p>
        </w:tc>
        <w:tc>
          <w:tcPr>
            <w:tcW w:w="65" w:type="dxa"/>
            <w:tcBorders/>
            <w:shd w:fill="CCEEFF" w:val="clear"/>
            <w:vAlign w:val="bottom"/>
          </w:tcPr>
          <w:p>
            <w:pPr>
              <w:pStyle w:val="TableContents"/>
              <w:bidi w:val="0"/>
              <w:spacing w:before="0" w:after="283"/>
              <w:jc w:val="left"/>
              <w:rPr/>
            </w:pPr>
            <w:r>
              <w:rPr/>
              <w:t> </w:t>
            </w:r>
          </w:p>
        </w:tc>
      </w:tr>
      <w:tr>
        <w:trPr/>
        <w:tc>
          <w:tcPr>
            <w:tcW w:w="173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double" w:sz="6" w:space="1" w:color="000000"/>
              </w:pBdr>
              <w:bidi w:val="0"/>
              <w:spacing w:before="0" w:after="0"/>
              <w:jc w:val="left"/>
              <w:rPr/>
            </w:pPr>
            <w:r>
              <w:rPr/>
              <w:t> </w:t>
            </w:r>
          </w:p>
        </w:tc>
        <w:tc>
          <w:tcPr>
            <w:tcW w:w="18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1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209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weighted average exercise price represents the weighted average exercise price of outstanding options. The weighted average exercise price does not take into account shares issuable upon vesting of outstanding RSUs, which have no exercise price.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2025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2025 Plan contains an evergreen provision, pursuant to which the number of shares of common shares reserved for issuance pursuant to awards under such plan shall be increased on the first day of each year beginning in 2026 and ending in 2035 equal to the lesser of (A) five percent of the shares of stock outstanding on the last day of the immediately preceding fiscal year and (B) such smaller number of shares of stock as determined by our Board; provided, however, that no more than 12,890,000 shares of stock may be issued upon the exercise of incentive stock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ESPP.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ESPP contains an evergreen provision, pursuant to which the number of common shares reserved for issuance under such plan shall be increased on the first day of each year beginning in 2026 and ending in 2036 equal to the lesser of (A) one percent of the shares of stock outstanding on the last day of the immediately preceding fiscal year and (B) such smaller number of shares of stock as determined by our Board; provided, however, no more than 5,000,000 shares of stock may be issued under the ESPP.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78457_12"/>
      <w:bookmarkEnd w:id="14"/>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as to the beneficial ownership of our common shares as of July 7, 2025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director nominees, and NEOs individually;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shares beneficially owned, subject to community property laws where applicable. Shares of our common shares subject to options that are currently exercisable or exercisable within 60 days of July 7, 2025, or issuable pursuant to RSUs, which are subject to vesting and settlement conditions expected to occur within 60 days of July 7, 2025, are deemed to be outstanding and to be beneficially owned by the person holding the stock options for the purpose of computing the percentage ownership of that person, but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Percentage ownership of our common shares in the table is based on 51,348,656 shares of our common shares issued and outstanding on July 7, 2025. The table below does not reflect ownership of outstanding shares of our non-voting common shares. This table is based upon information supplied by officers, directors, principal shareholders, and Schedules 13D and Schedules 13G, if any, filed with the SEC. Unless otherwise indicated, the address of each of the individuals and entities named below is c/o Kestra Medical Technologies, Ltd., 3933 Lake Washington Blvd NE, Suite 200, Kirkland, Washington 98033.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79"/>
        <w:gridCol w:w="327"/>
        <w:gridCol w:w="102"/>
        <w:gridCol w:w="1886"/>
        <w:gridCol w:w="60"/>
        <w:gridCol w:w="327"/>
        <w:gridCol w:w="263"/>
        <w:gridCol w:w="1932"/>
        <w:gridCol w:w="279"/>
      </w:tblGrid>
      <w:tr>
        <w:trPr/>
        <w:tc>
          <w:tcPr>
            <w:tcW w:w="2579"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27" w:type="dxa"/>
            <w:tcBorders/>
            <w:vAlign w:val="bottom"/>
          </w:tcPr>
          <w:p>
            <w:pPr>
              <w:pStyle w:val="TableContents"/>
              <w:bidi w:val="0"/>
              <w:spacing w:before="0" w:after="283"/>
              <w:jc w:val="left"/>
              <w:rPr/>
            </w:pPr>
            <w:r>
              <w:rPr/>
              <w:t>  </w:t>
            </w:r>
          </w:p>
        </w:tc>
        <w:tc>
          <w:tcPr>
            <w:tcW w:w="1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Beneficially Owned</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Beneficial Ownership</w:t>
            </w:r>
          </w:p>
        </w:tc>
        <w:tc>
          <w:tcPr>
            <w:tcW w:w="279" w:type="dxa"/>
            <w:tcBorders/>
            <w:vAlign w:val="bottom"/>
          </w:tcPr>
          <w:p>
            <w:pPr>
              <w:pStyle w:val="TableContents"/>
              <w:bidi w:val="0"/>
              <w:spacing w:before="0" w:after="283"/>
              <w:jc w:val="left"/>
              <w:rPr/>
            </w:pPr>
            <w:r>
              <w:rPr/>
              <w:t> </w:t>
            </w:r>
          </w:p>
        </w:tc>
      </w:tr>
      <w:tr>
        <w:trPr/>
        <w:tc>
          <w:tcPr>
            <w:tcW w:w="25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and Greater Shareholders:</w:t>
            </w:r>
          </w:p>
        </w:tc>
        <w:tc>
          <w:tcPr>
            <w:tcW w:w="32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8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2579" w:type="dxa"/>
            <w:tcBorders/>
          </w:tcPr>
          <w:p>
            <w:pPr>
              <w:pStyle w:val="TableContents"/>
              <w:bidi w:val="0"/>
              <w:spacing w:before="0" w:after="0"/>
              <w:jc w:val="left"/>
              <w:rPr>
                <w:rFonts w:ascii="Times New Roman" w:hAnsi="Times New Roman"/>
                <w:sz w:val="20"/>
              </w:rPr>
            </w:pPr>
            <w:r>
              <w:rPr>
                <w:rFonts w:ascii="Times New Roman" w:hAnsi="Times New Roman"/>
                <w:sz w:val="20"/>
              </w:rPr>
              <w:t>Affiliate of Bain Capital (1)</w:t>
            </w:r>
          </w:p>
        </w:tc>
        <w:tc>
          <w:tcPr>
            <w:tcW w:w="32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27,019,225</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52.6</w:t>
            </w:r>
          </w:p>
        </w:tc>
        <w:tc>
          <w:tcPr>
            <w:tcW w:w="279" w:type="dxa"/>
            <w:tcBorders/>
            <w:vAlign w:val="bottom"/>
          </w:tcPr>
          <w:p>
            <w:pPr>
              <w:pStyle w:val="TableContents"/>
              <w:bidi w:val="0"/>
              <w:spacing w:before="0" w:after="283"/>
              <w:jc w:val="left"/>
              <w:rPr/>
            </w:pPr>
            <w:r>
              <w:rPr/>
              <w:t>% </w:t>
            </w:r>
          </w:p>
        </w:tc>
      </w:tr>
      <w:tr>
        <w:trPr/>
        <w:tc>
          <w:tcPr>
            <w:tcW w:w="2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Affiliates of Endeavour Entities (2)</w:t>
            </w:r>
          </w:p>
        </w:tc>
        <w:tc>
          <w:tcPr>
            <w:tcW w:w="32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2,646,899</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5.2</w:t>
            </w:r>
          </w:p>
        </w:tc>
        <w:tc>
          <w:tcPr>
            <w:tcW w:w="279" w:type="dxa"/>
            <w:tcBorders/>
            <w:shd w:fill="CCEEFF" w:val="clear"/>
            <w:vAlign w:val="bottom"/>
          </w:tcPr>
          <w:p>
            <w:pPr>
              <w:pStyle w:val="TableContents"/>
              <w:bidi w:val="0"/>
              <w:spacing w:before="0" w:after="283"/>
              <w:jc w:val="left"/>
              <w:rPr/>
            </w:pPr>
            <w:r>
              <w:rPr/>
              <w:t>% </w:t>
            </w:r>
          </w:p>
        </w:tc>
      </w:tr>
      <w:tr>
        <w:trPr/>
        <w:tc>
          <w:tcPr>
            <w:tcW w:w="2579" w:type="dxa"/>
            <w:tcBorders/>
          </w:tcPr>
          <w:p>
            <w:pPr>
              <w:pStyle w:val="TableContents"/>
              <w:bidi w:val="0"/>
              <w:spacing w:before="0" w:after="0"/>
              <w:jc w:val="left"/>
              <w:rPr>
                <w:rFonts w:ascii="Times New Roman" w:hAnsi="Times New Roman"/>
                <w:sz w:val="20"/>
              </w:rPr>
            </w:pPr>
            <w:r>
              <w:rPr>
                <w:rFonts w:ascii="Times New Roman" w:hAnsi="Times New Roman"/>
                <w:sz w:val="20"/>
              </w:rPr>
              <w:t>FMR LLC(3)</w:t>
            </w:r>
          </w:p>
        </w:tc>
        <w:tc>
          <w:tcPr>
            <w:tcW w:w="32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3,117,044</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6.3</w:t>
            </w:r>
          </w:p>
        </w:tc>
        <w:tc>
          <w:tcPr>
            <w:tcW w:w="279" w:type="dxa"/>
            <w:tcBorders/>
            <w:vAlign w:val="bottom"/>
          </w:tcPr>
          <w:p>
            <w:pPr>
              <w:pStyle w:val="TableContents"/>
              <w:bidi w:val="0"/>
              <w:spacing w:before="0" w:after="283"/>
              <w:jc w:val="left"/>
              <w:rPr/>
            </w:pPr>
            <w:r>
              <w:rPr/>
              <w:t>% </w:t>
            </w:r>
          </w:p>
        </w:tc>
      </w:tr>
      <w:tr>
        <w:trPr/>
        <w:tc>
          <w:tcPr>
            <w:tcW w:w="25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32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8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2579" w:type="dxa"/>
            <w:tcBorders/>
          </w:tcPr>
          <w:p>
            <w:pPr>
              <w:pStyle w:val="TableContents"/>
              <w:bidi w:val="0"/>
              <w:spacing w:before="0" w:after="0"/>
              <w:jc w:val="left"/>
              <w:rPr>
                <w:rFonts w:ascii="Times New Roman" w:hAnsi="Times New Roman"/>
                <w:sz w:val="20"/>
              </w:rPr>
            </w:pPr>
            <w:r>
              <w:rPr>
                <w:rFonts w:ascii="Times New Roman" w:hAnsi="Times New Roman"/>
                <w:sz w:val="20"/>
              </w:rPr>
              <w:t>Brian Webster(4)</w:t>
            </w:r>
          </w:p>
        </w:tc>
        <w:tc>
          <w:tcPr>
            <w:tcW w:w="32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1,377,342</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2.7</w:t>
            </w:r>
          </w:p>
        </w:tc>
        <w:tc>
          <w:tcPr>
            <w:tcW w:w="279" w:type="dxa"/>
            <w:tcBorders/>
            <w:vAlign w:val="bottom"/>
          </w:tcPr>
          <w:p>
            <w:pPr>
              <w:pStyle w:val="TableContents"/>
              <w:bidi w:val="0"/>
              <w:spacing w:before="0" w:after="283"/>
              <w:jc w:val="left"/>
              <w:rPr/>
            </w:pPr>
            <w:r>
              <w:rPr/>
              <w:t>% </w:t>
            </w:r>
          </w:p>
        </w:tc>
      </w:tr>
      <w:tr>
        <w:trPr/>
        <w:tc>
          <w:tcPr>
            <w:tcW w:w="2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Vaseem Mahboob(5)</w:t>
            </w:r>
          </w:p>
        </w:tc>
        <w:tc>
          <w:tcPr>
            <w:tcW w:w="32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14,838</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r>
      <w:tr>
        <w:trPr/>
        <w:tc>
          <w:tcPr>
            <w:tcW w:w="2579" w:type="dxa"/>
            <w:tcBorders/>
          </w:tcPr>
          <w:p>
            <w:pPr>
              <w:pStyle w:val="TableContents"/>
              <w:bidi w:val="0"/>
              <w:spacing w:before="0" w:after="0"/>
              <w:jc w:val="left"/>
              <w:rPr>
                <w:rFonts w:ascii="Times New Roman" w:hAnsi="Times New Roman"/>
                <w:sz w:val="20"/>
              </w:rPr>
            </w:pPr>
            <w:r>
              <w:rPr>
                <w:rFonts w:ascii="Times New Roman" w:hAnsi="Times New Roman"/>
                <w:sz w:val="20"/>
              </w:rPr>
              <w:t>Traci S. Umberger(6)</w:t>
            </w:r>
          </w:p>
        </w:tc>
        <w:tc>
          <w:tcPr>
            <w:tcW w:w="32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416,024</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r>
      <w:tr>
        <w:trPr/>
        <w:tc>
          <w:tcPr>
            <w:tcW w:w="2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Schwartz (7)</w:t>
            </w:r>
          </w:p>
        </w:tc>
        <w:tc>
          <w:tcPr>
            <w:tcW w:w="32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79" w:type="dxa"/>
            <w:tcBorders/>
          </w:tcPr>
          <w:p>
            <w:pPr>
              <w:pStyle w:val="TableContents"/>
              <w:bidi w:val="0"/>
              <w:spacing w:before="0" w:after="0"/>
              <w:jc w:val="left"/>
              <w:rPr>
                <w:rFonts w:ascii="Times New Roman" w:hAnsi="Times New Roman"/>
                <w:sz w:val="20"/>
              </w:rPr>
            </w:pPr>
            <w:r>
              <w:rPr>
                <w:rFonts w:ascii="Times New Roman" w:hAnsi="Times New Roman"/>
                <w:sz w:val="20"/>
              </w:rPr>
              <w:t>Toby AuWerter (8)</w:t>
            </w:r>
          </w:p>
        </w:tc>
        <w:tc>
          <w:tcPr>
            <w:tcW w:w="32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Maxwell Bikoff (9)</w:t>
            </w:r>
          </w:p>
        </w:tc>
        <w:tc>
          <w:tcPr>
            <w:tcW w:w="32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79" w:type="dxa"/>
            <w:tcBorders/>
          </w:tcPr>
          <w:p>
            <w:pPr>
              <w:pStyle w:val="TableContents"/>
              <w:bidi w:val="0"/>
              <w:spacing w:before="0" w:after="0"/>
              <w:jc w:val="left"/>
              <w:rPr>
                <w:rFonts w:ascii="Times New Roman" w:hAnsi="Times New Roman"/>
                <w:sz w:val="20"/>
              </w:rPr>
            </w:pPr>
            <w:r>
              <w:rPr>
                <w:rFonts w:ascii="Times New Roman" w:hAnsi="Times New Roman"/>
                <w:sz w:val="20"/>
              </w:rPr>
              <w:t>Raymond W. Cohen (10)</w:t>
            </w:r>
          </w:p>
        </w:tc>
        <w:tc>
          <w:tcPr>
            <w:tcW w:w="32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12,994</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r>
      <w:tr>
        <w:trPr/>
        <w:tc>
          <w:tcPr>
            <w:tcW w:w="2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Gordon (11)</w:t>
            </w:r>
          </w:p>
        </w:tc>
        <w:tc>
          <w:tcPr>
            <w:tcW w:w="32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Mary Kay Ladone(12) </w:t>
            </w:r>
          </w:p>
        </w:tc>
        <w:tc>
          <w:tcPr>
            <w:tcW w:w="32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12,994</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r>
      <w:tr>
        <w:trPr/>
        <w:tc>
          <w:tcPr>
            <w:tcW w:w="2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Reilly (13)</w:t>
            </w:r>
          </w:p>
        </w:tc>
        <w:tc>
          <w:tcPr>
            <w:tcW w:w="32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79" w:type="dxa"/>
            <w:tcBorders/>
          </w:tcPr>
          <w:p>
            <w:pPr>
              <w:pStyle w:val="TableContents"/>
              <w:bidi w:val="0"/>
              <w:spacing w:before="0" w:after="0"/>
              <w:jc w:val="left"/>
              <w:rPr>
                <w:rFonts w:ascii="Times New Roman" w:hAnsi="Times New Roman"/>
                <w:sz w:val="20"/>
              </w:rPr>
            </w:pPr>
            <w:r>
              <w:rPr>
                <w:rFonts w:ascii="Times New Roman" w:hAnsi="Times New Roman"/>
                <w:sz w:val="20"/>
              </w:rPr>
              <w:t>Conor Hanley</w:t>
            </w:r>
          </w:p>
        </w:tc>
        <w:tc>
          <w:tcPr>
            <w:tcW w:w="32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(12 persons)</w:t>
            </w:r>
          </w:p>
        </w:tc>
        <w:tc>
          <w:tcPr>
            <w:tcW w:w="32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1,834,192</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3.6</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contained in the Schedule 13G filed with the SEC on May 15, 2025. Includes 7,109,944 shares held directly by Bain Charger Holdings, L.P. (Bain Charger) and 19,909,281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indirectly held through West Affum Holdings, L.P. The shares held by West Affum Holdings, L.P. are held for the benefit of holders of its common units, including Bain Charger, until the time such shares are distributed to the holders of common units of West Affum Holdings, L.P. in accordance with its partnership agreement. Bain Charger is the sole shareholder of West Affum GP Ltd., which is the general partner of West Affum Holdings, L.P. As a result of the foregoing, Bain Charger may be deemed to have (i) voting power with respect to an aggregate of 24,949,838 shares, representing (x) 7,109,944 shares held directly by Bain Charger and (y) 17,839,894 Common Shares indirectly held by Bain Charger through West Affum Holdings, L.P., and (ii) dispositive power with respect to an aggregate of 27,019,225 shares. Bain Capital Investors, LLC (BCI) is the general partner of Bain Charger. As a result, BCI may be deemed to exercise voting and dispositive power with respect to the shares held by Bain Charger. Voting and investment decisions with respect to securities held by the Bain Charger are made by the partners of BCI, of whom there are three or more and none of whom individually has the power to direct such decisions. The address of BCI and the Bain Entity is c/o Bain Capital Private Equity, LP, 200 Clarendon Street, Boston, Massachusetts 02116.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contained in the Schedule 13G filed with the SEC on May 15, 2025. Includes 972,077 shares held directly by Endeavour Medtech Growth II LP and 1,628,023 shares indirectly held by Endeavour Medtech Growth II LP through West Affum Holdings, L.P., which Endeavour Medtech Growth II LP is entitled to receive, calculated based on the liquidation value of West Affum Holdings, L.P. immediately following the initial public offering of the Company, pursuant to an agreement between West Affum Holdings, L.P. and its partners to distribute common shares of the Company held by West Affum Holdings, L.P. to its partners approximately nine months after the consummation of the Companys initial public offering (the Post-IPO Distribution); and 17,497 shares held directly by Endeavour Medtech Growth II Parallel LP and 29,302 shares indirectly held by Endeavour Medtech Growth II Parallel LP through West Affum Holdings, L.P., which Endeavour Medtech Growth II Parallel LP is entitled to receive in connection with the Post-IPO Distribution. Endeavour Medtech II GP Limited is the general partner of Endeavour Medtech Growth II LP and Endeavour Medtech Growth II Parallel LP (collectively, the Endeavour Entities). As a result, Endeavour Medtech II GP Limited may be deemed to exercise voting and dispositive power with respect to the shares held by Endeavour Medtech Growth II LP and Endeavour Medtech Growth II Parallel LP. Shares indirectly held by the Endeavour Entities which they are entitled to receive upon the Post-IPO Distribution are also included in the shares reported in the table above as beneficially owned by an affiliate of Bain Capital. The principal business address of the Endeavour Entities is c/o Endeavour Medtech Growth II LP, P.O. Box 656, East Wing Trafalgar Court, Les Banques, St Peter Port, Guernesy GY1 3PP.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contained in the Schedule 13G filed with the SEC on May 12, 2025. FMR LLC has sole voting and dispositive power with respect to 3,117,044 shares of common shares and reflects securities beneficially owned, or that may be deemed to be beneficially owned, by FMR LLC, Abigail P. Johnson and one or more other persons. The principal address for the FMR LLC entities is 245 Summer Street, Boston, MA 02210.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309,342 shares held directly by Mr. Webster and 1,068,000 shares underlying vested options directly held by Mr. Webster. Does not include shares indirectly held by Mr. Webster through West Affum Holdings, L.P., over which Mr. Webster does not have voting or dispositive power and will only be entitled to receive upon the Post-IPO Distribution.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14,838 shares held directly by Mr. Mahboob. Does not include shares indirectly held by Mr. Mahboob through West Affum Holdings, L.P., over which Mr. Mahboob does not have voting or dispositive power and will only be entitled to receive upon the Post-IPO Distribution.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91,424 shares held directly by Ms. Umberger and 324,600 shares underlying vested options directly held by Ms. Umberger. Does not include shares indirectly held by Ms. Umberger through West Affum Holdings, L.P., over which Ms. Umberger does not have voting or dispositive power and will only be entitled to receive upon the Post-IPO Distribution.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Mr. Schwartz is c/o Bain Capital Private Equity, LP, 200 Clarendon Street, Boston, Massachusetts 02116.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Mr. AuWerter is c/o Endeavour Medtech Growth II LP, P.O. Box 656, East Wing Trafalgar Court, Les Banques, St Peter Port, Guernesy GY1 3PP.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Mr. Bikoff is c/o 2740 Sand Hill Road, 2nd Floor, Menlo Park, CA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12,994 restricted common shares held by Mr. Cohen subject to continued vesting conditions, which vest in one-third increments on July 24, 2025, July 24, 2026 and July 24, 2027.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Mr. Gordon is c/o Bain Capital Private Equity, LP, 200 Clarendon Street, Boston, Massachusetts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12,994 restricted common shares held by Ms. Ladone subject to continued vesting conditions, which vest in one-third increments on October 7, 2025, October 7, 2026 and October 7, 2027. Does not include shares indirectly held by Ms. Ladone through West Affum Holdings, L.P., over which Ms. Ladone does not have voting or dispositive power and will only be entitled to receive upon the Post-IPO Distribution.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Mr. Reilly is c/o 430 Park Avenue, Floor 12, New York, NY 10022.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78457_13"/>
      <w:bookmarkEnd w:id="15"/>
      <w:r>
        <w:rPr>
          <w:rFonts w:ascii="Times New Roman" w:hAnsi="Times New Roman"/>
          <w:b/>
          <w:sz w:val="20"/>
        </w:rPr>
        <w:t xml:space="preserve">DELINQUENT SECTION 16(A) REPORTS </w:t>
      </w:r>
    </w:p>
    <w:p>
      <w:pPr>
        <w:pStyle w:val="TextBody"/>
        <w:bidi w:val="0"/>
        <w:spacing w:before="240" w:after="0"/>
        <w:jc w:val="left"/>
        <w:rPr>
          <w:rFonts w:ascii="Times New Roman" w:hAnsi="Times New Roman"/>
          <w:sz w:val="20"/>
        </w:rPr>
      </w:pPr>
      <w:r>
        <w:rPr>
          <w:rFonts w:ascii="Times New Roman" w:hAnsi="Times New Roman"/>
          <w:sz w:val="20"/>
        </w:rPr>
        <w:t xml:space="preserve">Section 16(a) of the Exchange Act requires the Companys directors, executive officers, and persons who own more than 10% of a registered class of the Companys equity securities, to file with the SEC initial reports of ownership and reports of changes in ownership of common shares and other equity securities of the Company. Officers, directors, and greater than 10% shareholders are required by SEC regulations to furnish the Company with copies of all Section 16(a) forms they file. </w:t>
      </w:r>
    </w:p>
    <w:p>
      <w:pPr>
        <w:pStyle w:val="TextBody"/>
        <w:bidi w:val="0"/>
        <w:spacing w:before="240" w:after="0"/>
        <w:jc w:val="left"/>
        <w:rPr>
          <w:rFonts w:ascii="Times New Roman" w:hAnsi="Times New Roman"/>
          <w:sz w:val="20"/>
        </w:rPr>
      </w:pPr>
      <w:r>
        <w:rPr>
          <w:rFonts w:ascii="Times New Roman" w:hAnsi="Times New Roman"/>
          <w:sz w:val="20"/>
        </w:rPr>
        <w:t xml:space="preserve">To the Companys knowledge, based solely on a review of the copies of such reports furnished to the Company and written representations that no other reports were required, the Company believes that all Section 16(a) filing requirements applicable to our officers, directors, and greater than 10% beneficial owners were complied with during the fiscal year ended April 30, 2025. </w:t>
      </w:r>
    </w:p>
    <w:p>
      <w:pPr>
        <w:pStyle w:val="TextBody"/>
        <w:bidi w:val="0"/>
        <w:spacing w:before="480" w:after="0"/>
        <w:jc w:val="center"/>
        <w:rPr>
          <w:rFonts w:ascii="Times New Roman" w:hAnsi="Times New Roman"/>
          <w:b/>
          <w:sz w:val="20"/>
        </w:rPr>
      </w:pPr>
      <w:bookmarkStart w:id="16" w:name="toc78457_14"/>
      <w:bookmarkEnd w:id="16"/>
      <w:r>
        <w:rPr>
          <w:rFonts w:ascii="Times New Roman" w:hAnsi="Times New Roman"/>
          <w:b/>
          <w:sz w:val="20"/>
        </w:rPr>
        <w:t xml:space="preserve">ADDITIONAL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Householding of Proxy Materials </w:t>
      </w:r>
    </w:p>
    <w:p>
      <w:pPr>
        <w:pStyle w:val="TextBody"/>
        <w:bidi w:val="0"/>
        <w:spacing w:before="120" w:after="0"/>
        <w:jc w:val="left"/>
        <w:rPr>
          <w:rFonts w:ascii="Times New Roman" w:hAnsi="Times New Roman"/>
          <w:sz w:val="20"/>
        </w:rPr>
      </w:pPr>
      <w:r>
        <w:rPr>
          <w:rFonts w:ascii="Times New Roman" w:hAnsi="Times New Roman"/>
          <w:sz w:val="20"/>
        </w:rPr>
        <w:t>The SEC has adopted rules that permit companies and intermediaries (</w:t>
      </w:r>
      <w:r>
        <w:rPr>
          <w:rFonts w:ascii="Times New Roman" w:hAnsi="Times New Roman"/>
          <w:i/>
          <w:sz w:val="20"/>
        </w:rPr>
        <w:t>e.g</w:t>
      </w:r>
      <w:r>
        <w:rPr>
          <w:rFonts w:ascii="Times New Roman" w:hAnsi="Times New Roman"/>
          <w:sz w:val="20"/>
        </w:rPr>
        <w:t xml:space="preserve">., brokers)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Brokers with account holders who are Kestra shareholders may be householding our proxy materials. A single proxy statement may be delivered to multiple shareholders sharing an address unless contrary instructions have been received from the affected shareholders. Once you have received notice from your broker that it will be householding communications to your address, householding will continue until you are notified otherwise or until you notify your broker or the Company that you no longer wish to participate in householding.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you no longer wish to participate in householding and would prefer to receive a separate Proxy Statement and Annual Report, you may notify your broker or direct your written request to our General Counsel at 3933 Lake Washington Blvd NE, Suite 200, Kirkland, Washington 98033. shareholders who currently receive multiple copies of this Proxy Statement at their address and would like to request householding of their communications should contact their broker or the Company at 3933 Lake Washington Blvd NE, Suite 200, Kirkland, Washington 98033. In addition, the Company will promptly deliver, upon written or oral request to the address or telephone number above, a separate copy of the Annual Report, Proxy Statement, proxy card, or Notice of Annual Meeting to a shareholder at a shared address to which a single copy of the documents was delivered. </w:t>
      </w:r>
    </w:p>
    <w:p>
      <w:pPr>
        <w:pStyle w:val="TextBody"/>
        <w:bidi w:val="0"/>
        <w:spacing w:before="360" w:after="0"/>
        <w:jc w:val="left"/>
        <w:rPr>
          <w:rFonts w:ascii="Times New Roman" w:hAnsi="Times New Roman"/>
          <w:b/>
          <w:sz w:val="20"/>
        </w:rPr>
      </w:pPr>
      <w:r>
        <w:rPr>
          <w:rFonts w:ascii="Times New Roman" w:hAnsi="Times New Roman"/>
          <w:b/>
          <w:sz w:val="20"/>
        </w:rPr>
        <w:t xml:space="preserve">2026 Shareholder Proposals </w:t>
      </w:r>
    </w:p>
    <w:p>
      <w:pPr>
        <w:pStyle w:val="TextBody"/>
        <w:bidi w:val="0"/>
        <w:spacing w:before="120" w:after="0"/>
        <w:jc w:val="left"/>
        <w:rPr>
          <w:rFonts w:ascii="Times New Roman" w:hAnsi="Times New Roman"/>
          <w:i/>
          <w:sz w:val="20"/>
        </w:rPr>
      </w:pPr>
      <w:r>
        <w:rPr>
          <w:rFonts w:ascii="Times New Roman" w:hAnsi="Times New Roman"/>
          <w:i/>
          <w:sz w:val="20"/>
        </w:rPr>
        <w:t xml:space="preserve">Shareholder Proposals Under Rule 14a-8 </w:t>
      </w:r>
    </w:p>
    <w:p>
      <w:pPr>
        <w:pStyle w:val="TextBody"/>
        <w:bidi w:val="0"/>
        <w:spacing w:before="120" w:after="0"/>
        <w:jc w:val="left"/>
        <w:rPr>
          <w:rFonts w:ascii="Times New Roman" w:hAnsi="Times New Roman"/>
          <w:sz w:val="20"/>
        </w:rPr>
      </w:pPr>
      <w:r>
        <w:rPr>
          <w:rFonts w:ascii="Times New Roman" w:hAnsi="Times New Roman"/>
          <w:sz w:val="20"/>
        </w:rPr>
        <w:t xml:space="preserve">Shareholders who wish to present a proposal in accordance with SEC Rule 14a-8 under the Securities Exchange Act of 1934, as amended (the Exchange Act) for inclusion in our proxy materials to be distributed in connection with our 2026 annual meeting of shareholders (the 2026 Annual Meeting) must submit their proposal in accordance with Rule 14a-8s requirements, including ensuring it is received by our General Counsel by mail at 3933 Lake Washington Blvd NE, Suite 200, Kirkland, Washington 98033 no later than 5:00 p.m. Eastern Standard Time on March 24, 2026. For convenience, shareholder proposals may also be sent to our General Counsel at corporatesecretary@kestramedical.com. If the date of the 2026 Annual Meeting is more than 30 days before or after September 3, 2026, then the deadline to timely receive such material will be a reasonable time before we begin to print and send our proxy materials relating to the 2026 Annual Meeting. Failure to deliver a proposal in accordance with this procedure may result in it not being deemed timely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Shareholder Proposals or Nominations and Universal Proxy </w:t>
      </w:r>
    </w:p>
    <w:p>
      <w:pPr>
        <w:pStyle w:val="TextBody"/>
        <w:bidi w:val="0"/>
        <w:spacing w:before="120" w:after="0"/>
        <w:jc w:val="left"/>
        <w:rPr>
          <w:rFonts w:ascii="Times New Roman" w:hAnsi="Times New Roman"/>
          <w:sz w:val="20"/>
        </w:rPr>
      </w:pPr>
      <w:r>
        <w:rPr>
          <w:rFonts w:ascii="Times New Roman" w:hAnsi="Times New Roman"/>
          <w:sz w:val="20"/>
        </w:rPr>
        <w:t xml:space="preserve">A shareholder proposal must comply with the requirements as to form and substance established by our Bye-laws and, if applicable, the SEC, to be eligible to be voted on at the 2026 Annual Meeting. Our Bye-laws require that shareholders who intend to propose, outside of Rule 14a-8 under the Exchange Act, any proposal, including nominating candidates for election as directors, at the 2026 Annual Meeting must provide notice of such proposals in writing to our General Counsel no earlier than May 6, 2026, and no later than 5:00 p.m. Eastern Standard Time on June 5, 2025. However, if the date of the 2026 Annual Meeting is more than 30 days before or more than 70 days after September 3, 2026, such shareholders notice must be delivered in writing not earlier than the opening of business on the 120th day prior to the 2026 Annual Meeting and not later than 5:00 p.m. Eastern Standard Time on the later of (i) the 90th day prior to the 2026 Annual Meeting or (ii) the 10th day following the day on which public announcement of the date of the 2026 Annual Meeting is first made by the Company. The notice must comply with the timing, disclosure, procedural and other requirements set forth in our Bye-laws.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requirements under our Bye-laws, if a shareholder intends to comply with the SECs universal proxy rules and to solicit proxies in support of director nominees other than the Companys nominees, the shareholder must also provide notice that sets forth the information required by Rule 14a-19 under the Exchange Act, which notice must be postmarked or transmitted electronically to our General Counsel at the address above no later than July 5, 2026. If the date of the 2026 Annual Meeting is changed by more than 30 calendar days from the one-year anniversary date of the Annual Meeting, then the shareholder most provide notice by the later of 60 calendar days prior to the 2026 Annual Meeting and 10 calendar days following the day on which public announcement of the date of the 2026 Annual Meeting is first made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a shareholder to make any nomination for election to the Board at an annual meeting, the shareholder must provide notice to the Company, which notice must be delivered to, or mailed and received at, the Companys principal executive offices, located at 3933 Lake Washington Blvd NE, Sute 200, Kirkland, Washington 98003, not less than the close of business on the 90th day nor earlier than the close of business on the 120th day before the first anniversary of the preceding years annual general meeting, however, that if the date of the annual meeting is advanced by more than 30 days, or delayed by more than 70 days from such anniversary date, the shareholders notice must be delivered, or mailed and received, not earlier than the opening of business on the 120th day prior to such annual general meeting and not later than the close of business on the later of the 90th day prior to such annual general meeting or the tenth day following the day on which the public announcement of the date of such meeting is first made by the Company. Further updates and supplements to such notice may be required at the times, and in the forms, required under our Bye-laws. As set forth in our Bye-laws, submissions must include the name and address of the proposed nominee, indirect and direct interests in securities of the Company, information regarding the proposed nominee that is required to be disclosed in a proxy statement or other filings in a contested election pursuant to Section 14(a) under the Exchange Act, information regarding the proposed nominees indirect and direct material interests in any material contract or agreement between the nominating shareholder and any other participants in such solicitation, including all information that would be required to be disclosed pursuant to Rule 404 under Regulation S-K, and a completed and signed questionnaire, representation, and agreement of the proposed nominee. Our Bye-laws also specify further requirements as to the timing, form, and content of a shareholders notice. Any shareholder wishing to make a nomination for director should review a copy of our Bye-laws, as amended and restated to date, which is available, without charge, at https://investors.kestramedical.com/corporate-governance/documents-charters. </w:t>
      </w:r>
    </w:p>
    <w:p>
      <w:pPr>
        <w:pStyle w:val="TextBody"/>
        <w:bidi w:val="0"/>
        <w:spacing w:before="240" w:after="0"/>
        <w:jc w:val="left"/>
        <w:rPr>
          <w:rFonts w:ascii="Times New Roman" w:hAnsi="Times New Roman"/>
          <w:b/>
          <w:sz w:val="20"/>
        </w:rPr>
      </w:pPr>
      <w:r>
        <w:rPr>
          <w:rFonts w:ascii="Times New Roman" w:hAnsi="Times New Roman"/>
          <w:b/>
          <w:sz w:val="20"/>
        </w:rPr>
        <w:t xml:space="preserve">A shareholder proposal must comply with the requirements as to form and substance established by our Bye-laws and, if applicable, the SEC, to be eligible to be voted on at the 2026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the Board does not intend to present any matters other than those described herein at the Annual Meeting and is unaware of any matters to be presented by other parties. If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matters are properly brought before the Annual Meeting for action by the shareholders, proxies will be voted in accordance with the recommendation of the Board or, in the absence of such a recommendation, in the discretion of the proxy holder. </w:t>
      </w:r>
    </w:p>
    <w:p>
      <w:pPr>
        <w:pStyle w:val="TextBody"/>
        <w:bidi w:val="0"/>
        <w:spacing w:before="240" w:after="0"/>
        <w:jc w:val="left"/>
        <w:rPr>
          <w:rFonts w:ascii="Times New Roman" w:hAnsi="Times New Roman"/>
          <w:b/>
          <w:sz w:val="20"/>
        </w:rPr>
      </w:pPr>
      <w:r>
        <w:rPr>
          <w:rFonts w:ascii="Times New Roman" w:hAnsi="Times New Roman"/>
          <w:b/>
          <w:sz w:val="20"/>
        </w:rPr>
        <w:t xml:space="preserve">We have filed our Annual Report with the SEC. It is available free of charge on the SECs website at www.sec.gov. Upon written request by a shareholder of Kestra, we will mail, without charge, a copy of our Annual Report, including the financial statements and financial statement schedules, but excluding exhibits to the Annual Report. Exhibits to the Annual Report are available upon payment of a reasonable fee, which is limited to our expenses in furnishing the requested exhibit. All requests should be directed to our General Counsel at 3933 Lake Washington Blvd NE, Suite 200, Kirkland, Washington 98033.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78457_15"/>
      <w:bookmarkEnd w:id="17"/>
      <w:r>
        <w:rPr>
          <w:rFonts w:ascii="Times New Roman" w:hAnsi="Times New Roman"/>
          <w:b/>
          <w:sz w:val="20"/>
        </w:rPr>
        <w:t xml:space="preserve">Annex A </w:t>
      </w:r>
    </w:p>
    <w:p>
      <w:pPr>
        <w:pStyle w:val="TextBody"/>
        <w:bidi w:val="0"/>
        <w:spacing w:before="0" w:after="0"/>
        <w:jc w:val="center"/>
        <w:rPr>
          <w:rFonts w:ascii="Times New Roman" w:hAnsi="Times New Roman"/>
          <w:b/>
          <w:sz w:val="20"/>
        </w:rPr>
      </w:pPr>
      <w:r>
        <w:rPr>
          <w:rFonts w:ascii="Times New Roman" w:hAnsi="Times New Roman"/>
          <w:b/>
          <w:sz w:val="20"/>
        </w:rPr>
        <w:t xml:space="preserve">EMPLOYEE STOCK PURCHASE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KESTRA MEDICAL TECHNOLOGIES, LTD.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2025 EMPLOYEE STOCK PURCHASE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The purpose of this Kestra Medical Technologies, Ltd. 2025 Employee Stock Purchase Plan (as it may be amended or restated from time to time, this </w:t>
      </w:r>
      <w:r>
        <w:rPr>
          <w:rFonts w:ascii="Times New Roman" w:hAnsi="Times New Roman"/>
          <w:b/>
          <w:sz w:val="20"/>
          <w:u w:val="single"/>
        </w:rPr>
        <w:t>Plan</w:t>
      </w:r>
      <w:r>
        <w:rPr>
          <w:rFonts w:ascii="Times New Roman" w:hAnsi="Times New Roman"/>
          <w:sz w:val="20"/>
        </w:rPr>
        <w:t>) is to assist Eligible Employees of Kestra Medical Technologies, Ltd., a Bermuda corporation (the </w:t>
      </w:r>
      <w:r>
        <w:rPr>
          <w:rFonts w:ascii="Times New Roman" w:hAnsi="Times New Roman"/>
          <w:b/>
          <w:sz w:val="20"/>
          <w:u w:val="single"/>
        </w:rPr>
        <w:t>Company</w:t>
      </w:r>
      <w:r>
        <w:rPr>
          <w:rFonts w:ascii="Times New Roman" w:hAnsi="Times New Roman"/>
          <w:sz w:val="20"/>
        </w:rPr>
        <w:t xml:space="preserve">) and its Designated Subsidiaries in acquiring a stock ownership interest in the Company. This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CONSTRUCTION </w:t>
      </w:r>
    </w:p>
    <w:p>
      <w:pPr>
        <w:pStyle w:val="TextBody"/>
        <w:bidi w:val="0"/>
        <w:spacing w:before="240" w:after="0"/>
        <w:jc w:val="left"/>
        <w:rPr>
          <w:rFonts w:ascii="Times New Roman" w:hAnsi="Times New Roman"/>
          <w:sz w:val="20"/>
        </w:rPr>
      </w:pPr>
      <w:r>
        <w:rPr>
          <w:rFonts w:ascii="Times New Roman" w:hAnsi="Times New Roman"/>
          <w:sz w:val="20"/>
        </w:rPr>
        <w:t xml:space="preserve">Wherever the following terms are used in this Plan they shall have the meanings specified below, unless the context clearly indicates otherwise.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b/>
          <w:sz w:val="20"/>
          <w:u w:val="single"/>
        </w:rPr>
        <w:t>Administrator</w:t>
      </w:r>
      <w:r>
        <w:rPr>
          <w:rFonts w:ascii="Times New Roman" w:hAnsi="Times New Roman"/>
          <w:sz w:val="20"/>
        </w:rPr>
        <w:t xml:space="preserve"> means the entity that conducts the general administration of this Plan as provided in Article XI. The term Administrator shall refer to the Committee unless the Board has assumed the authority for administration of this Plan as provided in Article XI.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b/>
          <w:sz w:val="20"/>
          <w:u w:val="single"/>
        </w:rPr>
        <w:t>Applicable Law</w:t>
      </w:r>
      <w:r>
        <w:rPr>
          <w:rFonts w:ascii="Times New Roman" w:hAnsi="Times New Roman"/>
          <w:sz w:val="20"/>
        </w:rPr>
        <w:t xml:space="preserve">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b/>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b/>
          <w:sz w:val="20"/>
          <w:u w:val="single"/>
        </w:rPr>
        <w:t>Code</w:t>
      </w:r>
      <w:r>
        <w:rPr>
          <w:rFonts w:ascii="Times New Roman" w:hAnsi="Times New Roman"/>
          <w:sz w:val="20"/>
        </w:rPr>
        <w:t xml:space="preserve"> means the U.S. Internal Revenue Code of 1986, as amended from time to time. Any reference to any section of the Code shall also be a reference to any successor provision and any guidance and treasury regulation promulgated thereunder.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b/>
          <w:sz w:val="20"/>
          <w:u w:val="single"/>
        </w:rPr>
        <w:t>Common Stock</w:t>
      </w:r>
      <w:r>
        <w:rPr>
          <w:rFonts w:ascii="Times New Roman" w:hAnsi="Times New Roman"/>
          <w:sz w:val="20"/>
        </w:rPr>
        <w:t xml:space="preserve"> means the common stock, $1.00 par value per share, of the Company. </w:t>
      </w:r>
    </w:p>
    <w:p>
      <w:pPr>
        <w:pStyle w:val="TextBody"/>
        <w:bidi w:val="0"/>
        <w:spacing w:before="240" w:after="0"/>
        <w:jc w:val="left"/>
        <w:rPr>
          <w:rFonts w:ascii="Times New Roman" w:hAnsi="Times New Roman"/>
          <w:sz w:val="20"/>
        </w:rPr>
      </w:pPr>
      <w:r>
        <w:rPr>
          <w:rFonts w:ascii="Times New Roman" w:hAnsi="Times New Roman"/>
          <w:sz w:val="20"/>
        </w:rPr>
        <w:t>2.6 </w:t>
      </w:r>
      <w:r>
        <w:rPr>
          <w:rFonts w:ascii="Times New Roman" w:hAnsi="Times New Roman"/>
          <w:b/>
          <w:sz w:val="20"/>
          <w:u w:val="single"/>
        </w:rPr>
        <w:t>Compensation</w:t>
      </w:r>
      <w:r>
        <w:rPr>
          <w:rFonts w:ascii="Times New Roman" w:hAnsi="Times New Roman"/>
          <w:sz w:val="20"/>
        </w:rPr>
        <w:t xml:space="preserve"> of an Eligible Employee means the gross cash compensation received by such Eligible Employee as compensation for services to the Company or any Designated Subsidiary, including prior week adjustment and overtime payments, but excluding any commissions and periodic bonuses, vacation pay, holiday pay, jury duty pay, funeral leave pay, military leave pay, one-time bonuses (e.g., retention or sign on bonuses),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 </w:t>
      </w:r>
    </w:p>
    <w:p>
      <w:pPr>
        <w:pStyle w:val="TextBody"/>
        <w:bidi w:val="0"/>
        <w:spacing w:before="240" w:after="0"/>
        <w:jc w:val="left"/>
        <w:rPr>
          <w:rFonts w:ascii="Times New Roman" w:hAnsi="Times New Roman"/>
          <w:sz w:val="20"/>
        </w:rPr>
      </w:pPr>
      <w:r>
        <w:rPr>
          <w:rFonts w:ascii="Times New Roman" w:hAnsi="Times New Roman"/>
          <w:sz w:val="20"/>
        </w:rPr>
        <w:t>2.7 </w:t>
      </w:r>
      <w:r>
        <w:rPr>
          <w:rFonts w:ascii="Times New Roman" w:hAnsi="Times New Roman"/>
          <w:b/>
          <w:sz w:val="20"/>
          <w:u w:val="single"/>
        </w:rPr>
        <w:t>Designated Subsidiary</w:t>
      </w:r>
      <w:r>
        <w:rPr>
          <w:rFonts w:ascii="Times New Roman" w:hAnsi="Times New Roman"/>
          <w:sz w:val="20"/>
        </w:rPr>
        <w:t xml:space="preserve"> means any Subsidiary designated by the Administrator in accordance with Section 11.2(b). </w:t>
      </w:r>
    </w:p>
    <w:p>
      <w:pPr>
        <w:pStyle w:val="TextBody"/>
        <w:bidi w:val="0"/>
        <w:spacing w:before="240" w:after="0"/>
        <w:jc w:val="left"/>
        <w:rPr>
          <w:rFonts w:ascii="Times New Roman" w:hAnsi="Times New Roman"/>
          <w:sz w:val="20"/>
        </w:rPr>
      </w:pPr>
      <w:r>
        <w:rPr>
          <w:rFonts w:ascii="Times New Roman" w:hAnsi="Times New Roman"/>
          <w:sz w:val="20"/>
        </w:rPr>
        <w:t>2.8 </w:t>
      </w:r>
      <w:r>
        <w:rPr>
          <w:rFonts w:ascii="Times New Roman" w:hAnsi="Times New Roman"/>
          <w:b/>
          <w:sz w:val="20"/>
          <w:u w:val="single"/>
        </w:rPr>
        <w:t>Effective</w:t>
      </w:r>
      <w:r>
        <w:rPr>
          <w:rFonts w:ascii="Times New Roman" w:hAnsi="Times New Roman"/>
          <w:sz w:val="20"/>
          <w:u w:val="single"/>
        </w:rPr>
        <w:t xml:space="preserve"> </w:t>
      </w:r>
      <w:r>
        <w:rPr>
          <w:rFonts w:ascii="Times New Roman" w:hAnsi="Times New Roman"/>
          <w:b/>
          <w:sz w:val="20"/>
          <w:u w:val="single"/>
        </w:rPr>
        <w:t>Date</w:t>
      </w:r>
      <w:r>
        <w:rPr>
          <w:rFonts w:ascii="Times New Roman" w:hAnsi="Times New Roman"/>
          <w:sz w:val="20"/>
        </w:rPr>
        <w:t xml:space="preserve"> means the date this Plan is adopted by the Board. </w:t>
      </w:r>
    </w:p>
    <w:p>
      <w:pPr>
        <w:pStyle w:val="TextBody"/>
        <w:bidi w:val="0"/>
        <w:spacing w:before="240" w:after="0"/>
        <w:jc w:val="left"/>
        <w:rPr>
          <w:rFonts w:ascii="Times New Roman" w:hAnsi="Times New Roman"/>
          <w:sz w:val="20"/>
        </w:rPr>
      </w:pPr>
      <w:r>
        <w:rPr>
          <w:rFonts w:ascii="Times New Roman" w:hAnsi="Times New Roman"/>
          <w:sz w:val="20"/>
        </w:rPr>
        <w:t>2.9 </w:t>
      </w:r>
      <w:r>
        <w:rPr>
          <w:rFonts w:ascii="Times New Roman" w:hAnsi="Times New Roman"/>
          <w:b/>
          <w:sz w:val="20"/>
          <w:u w:val="single"/>
        </w:rPr>
        <w:t>Eligible Employee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423(b)(4)(A) of the Code (which service requirement may not exceed two years); (iii) such Employees customary employment is for 20 hours per week or less; (iv) such Employees customary employment is for less than five months in any calendar year; and/or (v) such Employee is a citizen or resident of a foreign jurisdiction and the grant of a right to purchase Shares under this Plan to such Employee would be prohibited under the laws of such foreign jurisdiction or the grant of a right to purchase Shares under this Plan to such Employee in compliance with the laws of such foreign jurisdiction would cause this Plan to violate the requirements of Section 423 of the Code, as determined by the Administrator in its sole discretion. Any exclusion in clauses (i), (ii), (iii), (iv) or (v) of this </w:t>
      </w:r>
      <w:r>
        <w:rPr>
          <w:rFonts w:ascii="Times New Roman" w:hAnsi="Times New Roman"/>
          <w:sz w:val="20"/>
          <w:u w:val="single"/>
        </w:rPr>
        <w:t>Section 2.9(b)</w:t>
      </w:r>
      <w:r>
        <w:rPr>
          <w:rFonts w:ascii="Times New Roman" w:hAnsi="Times New Roman"/>
          <w:sz w:val="20"/>
        </w:rPr>
        <w:t xml:space="preserve"> shall be applied in an identical manner under each Offering Period to all Employees, in accordance with Treasury Regulation § 1.423-2(e). </w:t>
      </w:r>
    </w:p>
    <w:p>
      <w:pPr>
        <w:pStyle w:val="TextBody"/>
        <w:bidi w:val="0"/>
        <w:spacing w:before="240" w:after="0"/>
        <w:jc w:val="left"/>
        <w:rPr>
          <w:rFonts w:ascii="Times New Roman" w:hAnsi="Times New Roman"/>
          <w:sz w:val="20"/>
        </w:rPr>
      </w:pPr>
      <w:r>
        <w:rPr>
          <w:rFonts w:ascii="Times New Roman" w:hAnsi="Times New Roman"/>
          <w:sz w:val="20"/>
        </w:rPr>
        <w:t>(c) Further notwithstanding the foregoing, with respect to the Non-Section 423 Component, the first sentence in this definition shall apply in determining who is an Eligible Employee</w:t>
      </w:r>
      <w:r>
        <w:rPr>
          <w:rFonts w:ascii="Times New Roman" w:hAnsi="Times New Roman"/>
          <w:b/>
          <w:i/>
          <w:sz w:val="20"/>
        </w:rPr>
        <w:t>,</w:t>
      </w:r>
      <w:r>
        <w:rPr>
          <w:rFonts w:ascii="Times New Roman" w:hAnsi="Times New Roman"/>
          <w:sz w:val="20"/>
        </w:rPr>
        <w:t xml:space="preserve">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 </w:t>
      </w:r>
    </w:p>
    <w:p>
      <w:pPr>
        <w:pStyle w:val="TextBody"/>
        <w:bidi w:val="0"/>
        <w:spacing w:before="240" w:after="0"/>
        <w:jc w:val="left"/>
        <w:rPr>
          <w:rFonts w:ascii="Times New Roman" w:hAnsi="Times New Roman"/>
          <w:sz w:val="20"/>
        </w:rPr>
      </w:pPr>
      <w:r>
        <w:rPr>
          <w:rFonts w:ascii="Times New Roman" w:hAnsi="Times New Roman"/>
          <w:sz w:val="20"/>
        </w:rPr>
        <w:t>2.10 </w:t>
      </w:r>
      <w:r>
        <w:rPr>
          <w:rFonts w:ascii="Times New Roman" w:hAnsi="Times New Roman"/>
          <w:b/>
          <w:sz w:val="20"/>
          <w:u w:val="single"/>
        </w:rPr>
        <w:t>Employee</w:t>
      </w:r>
      <w:r>
        <w:rPr>
          <w:rFonts w:ascii="Times New Roman" w:hAnsi="Times New Roman"/>
          <w:sz w:val="20"/>
        </w:rPr>
        <w:t xml:space="preserve"> means, (a) with respect to the Non-Section 423 Component, any individual who renders services to the Company or any Designated Subsidiary in the status of an employee, and (b) with respect to the Section 423 Component, a person who is an employee within the meaning of Section 3401(c) of the Code. For purposes of an individuals participation in, or other rights under this Plan, all determinations by the Company shall be final, binding, and conclusive, notwithstanding that any court of law or governmental agency subsequently makes a contrary determination. For purposes of this Plan, the employment relationship shall be treated as continuing intact while the individual is on sick leave or other leave of absence approved by the Company or Designated Subsidiary and meeting the requirements of Treasury Regulations § 1.421-1(h)(2). Where the period of leave exceeds three months and the individuals right to reemployment is not guaranteed either by statute or by contract, the employment relationship shall be deemed to have terminated on the first day immediately following such three-month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2.11 </w:t>
      </w:r>
      <w:r>
        <w:rPr>
          <w:rFonts w:ascii="Times New Roman" w:hAnsi="Times New Roman"/>
          <w:b/>
          <w:sz w:val="20"/>
          <w:u w:val="single"/>
        </w:rPr>
        <w:t>Enrollment Date</w:t>
      </w:r>
      <w:r>
        <w:rPr>
          <w:rFonts w:ascii="Times New Roman" w:hAnsi="Times New Roman"/>
          <w:sz w:val="20"/>
        </w:rPr>
        <w:t xml:space="preserve"> means the first Trading Day of each Offering Period, unless otherwise specified in the Offering Document. </w:t>
      </w:r>
    </w:p>
    <w:p>
      <w:pPr>
        <w:pStyle w:val="TextBody"/>
        <w:bidi w:val="0"/>
        <w:spacing w:before="240" w:after="0"/>
        <w:jc w:val="left"/>
        <w:rPr>
          <w:rFonts w:ascii="Times New Roman" w:hAnsi="Times New Roman"/>
          <w:sz w:val="20"/>
        </w:rPr>
      </w:pPr>
      <w:r>
        <w:rPr>
          <w:rFonts w:ascii="Times New Roman" w:hAnsi="Times New Roman"/>
          <w:sz w:val="20"/>
        </w:rPr>
        <w:t>2.12 </w:t>
      </w:r>
      <w:r>
        <w:rPr>
          <w:rFonts w:ascii="Times New Roman" w:hAnsi="Times New Roman"/>
          <w:b/>
          <w:sz w:val="20"/>
          <w:u w:val="single"/>
        </w:rPr>
        <w:t>Exchange Act</w:t>
      </w:r>
      <w:r>
        <w:rPr>
          <w:rFonts w:ascii="Times New Roman" w:hAnsi="Times New Roman"/>
          <w:sz w:val="20"/>
        </w:rPr>
        <w:t xml:space="preserve"> means the U.S.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sz w:val="20"/>
        </w:rPr>
        <w:t>2.13 </w:t>
      </w:r>
      <w:r>
        <w:rPr>
          <w:rFonts w:ascii="Times New Roman" w:hAnsi="Times New Roman"/>
          <w:b/>
          <w:sz w:val="20"/>
          <w:u w:val="single"/>
        </w:rPr>
        <w:t>Fair Market Value</w:t>
      </w:r>
      <w:r>
        <w:rPr>
          <w:rFonts w:ascii="Times New Roman" w:hAnsi="Times New Roman"/>
          <w:sz w:val="20"/>
        </w:rPr>
        <w:t xml:space="preserve"> means,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hAnsi="Times New Roman"/>
          <w:i/>
          <w:sz w:val="20"/>
        </w:rPr>
        <w:t>The Wall Street Journal</w:t>
      </w:r>
      <w:r>
        <w:rPr>
          <w:rFonts w:ascii="Times New Roman" w:hAnsi="Times New Roman"/>
          <w:sz w:val="20"/>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hAnsi="Times New Roman"/>
          <w:i/>
          <w:sz w:val="20"/>
        </w:rPr>
        <w:t xml:space="preserve">The Wall Street Journal </w:t>
      </w:r>
      <w:r>
        <w:rPr>
          <w:rFonts w:ascii="Times New Roman" w:hAnsi="Times New Roman"/>
          <w:sz w:val="20"/>
        </w:rPr>
        <w:t xml:space="preserve">or another source the Administrator deems reliable; or (c) without an established market for the Common Stock, the Administrator will determine the Fair Market Value in good faith in its sole discretion. </w:t>
      </w:r>
    </w:p>
    <w:p>
      <w:pPr>
        <w:pStyle w:val="TextBody"/>
        <w:bidi w:val="0"/>
        <w:spacing w:before="240" w:after="0"/>
        <w:jc w:val="left"/>
        <w:rPr>
          <w:rFonts w:ascii="Times New Roman" w:hAnsi="Times New Roman"/>
          <w:sz w:val="20"/>
        </w:rPr>
      </w:pPr>
      <w:r>
        <w:rPr>
          <w:rFonts w:ascii="Times New Roman" w:hAnsi="Times New Roman"/>
          <w:sz w:val="20"/>
        </w:rPr>
        <w:t>2.14 </w:t>
      </w:r>
      <w:r>
        <w:rPr>
          <w:rFonts w:ascii="Times New Roman" w:hAnsi="Times New Roman"/>
          <w:b/>
          <w:sz w:val="20"/>
          <w:u w:val="single"/>
        </w:rPr>
        <w:t>Non-Section 423 Component</w:t>
      </w:r>
      <w:r>
        <w:rPr>
          <w:rFonts w:ascii="Times New Roman" w:hAnsi="Times New Roman"/>
          <w:sz w:val="20"/>
        </w:rPr>
        <w:t xml:space="preserve"> means those Offerings under this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 </w:t>
      </w:r>
    </w:p>
    <w:p>
      <w:pPr>
        <w:pStyle w:val="TextBody"/>
        <w:bidi w:val="0"/>
        <w:spacing w:before="240" w:after="0"/>
        <w:jc w:val="left"/>
        <w:rPr>
          <w:rFonts w:ascii="Times New Roman" w:hAnsi="Times New Roman"/>
          <w:sz w:val="20"/>
        </w:rPr>
      </w:pPr>
      <w:r>
        <w:rPr>
          <w:rFonts w:ascii="Times New Roman" w:hAnsi="Times New Roman"/>
          <w:sz w:val="20"/>
        </w:rPr>
        <w:t>2.15 </w:t>
      </w:r>
      <w:r>
        <w:rPr>
          <w:rFonts w:ascii="Times New Roman" w:hAnsi="Times New Roman"/>
          <w:b/>
          <w:sz w:val="20"/>
          <w:u w:val="single"/>
        </w:rPr>
        <w:t>Offering</w:t>
      </w:r>
      <w:r>
        <w:rPr>
          <w:rFonts w:ascii="Times New Roman" w:hAnsi="Times New Roman"/>
          <w:sz w:val="20"/>
        </w:rPr>
        <w:t xml:space="preserve"> means an offer under this Plan of a right to purchase Shares that may be exercised during an Offering Period as further described in Article IV.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this Plan will separately apply to each Offering. To the extent permitted by Treasury Regulations § 1.423-2(a)(1), the terms of each separate Offering under the Section 423 Component need not be identical, provided that the terms of the Section 423 Component and an Offering thereunder together satisfy Treasury Regulations § 1.423-2(a)(2) and (a)(3). </w:t>
      </w:r>
    </w:p>
    <w:p>
      <w:pPr>
        <w:pStyle w:val="TextBody"/>
        <w:bidi w:val="0"/>
        <w:spacing w:before="240" w:after="0"/>
        <w:jc w:val="left"/>
        <w:rPr>
          <w:rFonts w:ascii="Times New Roman" w:hAnsi="Times New Roman"/>
          <w:sz w:val="20"/>
        </w:rPr>
      </w:pPr>
      <w:r>
        <w:rPr>
          <w:rFonts w:ascii="Times New Roman" w:hAnsi="Times New Roman"/>
          <w:sz w:val="20"/>
        </w:rPr>
        <w:t>2.16 </w:t>
      </w:r>
      <w:r>
        <w:rPr>
          <w:rFonts w:ascii="Times New Roman" w:hAnsi="Times New Roman"/>
          <w:b/>
          <w:sz w:val="20"/>
          <w:u w:val="single"/>
        </w:rPr>
        <w:t>Offering Document</w:t>
      </w:r>
      <w:r>
        <w:rPr>
          <w:rFonts w:ascii="Times New Roman" w:hAnsi="Times New Roman"/>
          <w:sz w:val="20"/>
        </w:rPr>
        <w:t xml:space="preserve"> has the meaning given to such term in Section 4.1. </w:t>
      </w:r>
    </w:p>
    <w:p>
      <w:pPr>
        <w:pStyle w:val="TextBody"/>
        <w:bidi w:val="0"/>
        <w:spacing w:before="240" w:after="0"/>
        <w:jc w:val="left"/>
        <w:rPr>
          <w:rFonts w:ascii="Times New Roman" w:hAnsi="Times New Roman"/>
          <w:sz w:val="20"/>
        </w:rPr>
      </w:pPr>
      <w:r>
        <w:rPr>
          <w:rFonts w:ascii="Times New Roman" w:hAnsi="Times New Roman"/>
          <w:sz w:val="20"/>
        </w:rPr>
        <w:t>2.17 </w:t>
      </w:r>
      <w:r>
        <w:rPr>
          <w:rFonts w:ascii="Times New Roman" w:hAnsi="Times New Roman"/>
          <w:b/>
          <w:sz w:val="20"/>
          <w:u w:val="single"/>
        </w:rPr>
        <w:t>Offering Period</w:t>
      </w:r>
      <w:r>
        <w:rPr>
          <w:rFonts w:ascii="Times New Roman" w:hAnsi="Times New Roman"/>
          <w:sz w:val="20"/>
        </w:rPr>
        <w:t xml:space="preserve"> has the meaning given to such term in Section 4.1. </w:t>
      </w:r>
    </w:p>
    <w:p>
      <w:pPr>
        <w:pStyle w:val="TextBody"/>
        <w:bidi w:val="0"/>
        <w:spacing w:before="240" w:after="0"/>
        <w:jc w:val="left"/>
        <w:rPr>
          <w:rFonts w:ascii="Times New Roman" w:hAnsi="Times New Roman"/>
          <w:sz w:val="20"/>
        </w:rPr>
      </w:pPr>
      <w:r>
        <w:rPr>
          <w:rFonts w:ascii="Times New Roman" w:hAnsi="Times New Roman"/>
          <w:sz w:val="20"/>
        </w:rPr>
        <w:t>2.18 </w:t>
      </w:r>
      <w:r>
        <w:rPr>
          <w:rFonts w:ascii="Times New Roman" w:hAnsi="Times New Roman"/>
          <w:b/>
          <w:sz w:val="20"/>
          <w:u w:val="single"/>
        </w:rPr>
        <w:t>Parent</w:t>
      </w:r>
      <w:r>
        <w:rPr>
          <w:rFonts w:ascii="Times New Roman" w:hAnsi="Times New Roman"/>
          <w:sz w:val="20"/>
        </w:rPr>
        <w:t xml:space="preserve">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 </w:t>
      </w:r>
    </w:p>
    <w:p>
      <w:pPr>
        <w:pStyle w:val="TextBody"/>
        <w:bidi w:val="0"/>
        <w:spacing w:before="240" w:after="0"/>
        <w:jc w:val="left"/>
        <w:rPr>
          <w:rFonts w:ascii="Times New Roman" w:hAnsi="Times New Roman"/>
          <w:sz w:val="20"/>
        </w:rPr>
      </w:pPr>
      <w:r>
        <w:rPr>
          <w:rFonts w:ascii="Times New Roman" w:hAnsi="Times New Roman"/>
          <w:sz w:val="20"/>
        </w:rPr>
        <w:t>2.19 </w:t>
      </w:r>
      <w:r>
        <w:rPr>
          <w:rFonts w:ascii="Times New Roman" w:hAnsi="Times New Roman"/>
          <w:b/>
          <w:sz w:val="20"/>
          <w:u w:val="single"/>
        </w:rPr>
        <w:t>Participant</w:t>
      </w:r>
      <w:r>
        <w:rPr>
          <w:rFonts w:ascii="Times New Roman" w:hAnsi="Times New Roman"/>
          <w:sz w:val="20"/>
        </w:rPr>
        <w:t xml:space="preserve"> means any Eligible Employee who has executed a subscription agreement and been granted rights to purchase Common Stock pursuant to this Plan. </w:t>
      </w:r>
    </w:p>
    <w:p>
      <w:pPr>
        <w:pStyle w:val="TextBody"/>
        <w:bidi w:val="0"/>
        <w:spacing w:before="240" w:after="0"/>
        <w:jc w:val="left"/>
        <w:rPr>
          <w:rFonts w:ascii="Times New Roman" w:hAnsi="Times New Roman"/>
          <w:sz w:val="20"/>
        </w:rPr>
      </w:pPr>
      <w:r>
        <w:rPr>
          <w:rFonts w:ascii="Times New Roman" w:hAnsi="Times New Roman"/>
          <w:sz w:val="20"/>
        </w:rPr>
        <w:t>2.20 </w:t>
      </w:r>
      <w:r>
        <w:rPr>
          <w:rFonts w:ascii="Times New Roman" w:hAnsi="Times New Roman"/>
          <w:b/>
          <w:sz w:val="20"/>
          <w:u w:val="single"/>
        </w:rPr>
        <w:t>Purchase Date</w:t>
      </w:r>
      <w:r>
        <w:rPr>
          <w:rFonts w:ascii="Times New Roman" w:hAnsi="Times New Roman"/>
          <w:sz w:val="20"/>
        </w:rPr>
        <w:t xml:space="preserve"> means the last Trading Day of each Purchase Period, unless otherwise specified in the Offering Document. </w:t>
      </w:r>
    </w:p>
    <w:p>
      <w:pPr>
        <w:pStyle w:val="TextBody"/>
        <w:bidi w:val="0"/>
        <w:spacing w:before="240" w:after="0"/>
        <w:jc w:val="left"/>
        <w:rPr>
          <w:rFonts w:ascii="Times New Roman" w:hAnsi="Times New Roman"/>
          <w:sz w:val="20"/>
        </w:rPr>
      </w:pPr>
      <w:r>
        <w:rPr>
          <w:rFonts w:ascii="Times New Roman" w:hAnsi="Times New Roman"/>
          <w:sz w:val="20"/>
        </w:rPr>
        <w:t>2.21 </w:t>
      </w:r>
      <w:r>
        <w:rPr>
          <w:rFonts w:ascii="Times New Roman" w:hAnsi="Times New Roman"/>
          <w:b/>
          <w:sz w:val="20"/>
          <w:u w:val="single"/>
        </w:rPr>
        <w:t>Purchase Period</w:t>
      </w:r>
      <w:r>
        <w:rPr>
          <w:rFonts w:ascii="Times New Roman" w:hAnsi="Times New Roman"/>
          <w:sz w:val="20"/>
        </w:rPr>
        <w:t xml:space="preserve"> means one or more periods within an Offering Period, as designated in the applicable Offering Document;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no Purchase Period is designated by the Administrator in the applicable Offering Document, the Purchase Period for each Offering Period covered by such Offering Document shall be the same as the applicable Offering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2.22 </w:t>
      </w:r>
      <w:r>
        <w:rPr>
          <w:rFonts w:ascii="Times New Roman" w:hAnsi="Times New Roman"/>
          <w:b/>
          <w:sz w:val="20"/>
          <w:u w:val="single"/>
        </w:rPr>
        <w:t>Purchase Price</w:t>
      </w:r>
      <w:r>
        <w:rPr>
          <w:rFonts w:ascii="Times New Roman" w:hAnsi="Times New Roman"/>
          <w:sz w:val="20"/>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Purchase Price may be adjusted by the Administrator pursuant to Article VIII and shall not be less than the par value of a Share. </w:t>
      </w:r>
    </w:p>
    <w:p>
      <w:pPr>
        <w:pStyle w:val="TextBody"/>
        <w:bidi w:val="0"/>
        <w:spacing w:before="240" w:after="0"/>
        <w:jc w:val="left"/>
        <w:rPr>
          <w:rFonts w:ascii="Times New Roman" w:hAnsi="Times New Roman"/>
          <w:sz w:val="20"/>
        </w:rPr>
      </w:pPr>
      <w:r>
        <w:rPr>
          <w:rFonts w:ascii="Times New Roman" w:hAnsi="Times New Roman"/>
          <w:sz w:val="20"/>
        </w:rPr>
        <w:t>2.23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409A</w:t>
      </w:r>
      <w:r>
        <w:rPr>
          <w:rFonts w:ascii="Times New Roman" w:hAnsi="Times New Roman"/>
          <w:sz w:val="20"/>
        </w:rPr>
        <w:t xml:space="preserve"> means the nonqualified deferred compensation rules under Section 409A of the Code and any applicable Treasury Regulations and other official guidance thereunder. </w:t>
      </w:r>
    </w:p>
    <w:p>
      <w:pPr>
        <w:pStyle w:val="TextBody"/>
        <w:bidi w:val="0"/>
        <w:spacing w:before="240" w:after="0"/>
        <w:jc w:val="left"/>
        <w:rPr>
          <w:rFonts w:ascii="Times New Roman" w:hAnsi="Times New Roman"/>
          <w:sz w:val="20"/>
        </w:rPr>
      </w:pPr>
      <w:r>
        <w:rPr>
          <w:rFonts w:ascii="Times New Roman" w:hAnsi="Times New Roman"/>
          <w:sz w:val="20"/>
        </w:rPr>
        <w:t>2.24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423 Component</w:t>
      </w:r>
      <w:r>
        <w:rPr>
          <w:rFonts w:ascii="Times New Roman" w:hAnsi="Times New Roman"/>
          <w:sz w:val="20"/>
        </w:rPr>
        <w:t xml:space="preserve"> means those Offerings under this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 </w:t>
      </w:r>
    </w:p>
    <w:p>
      <w:pPr>
        <w:pStyle w:val="TextBody"/>
        <w:bidi w:val="0"/>
        <w:spacing w:before="240" w:after="0"/>
        <w:jc w:val="left"/>
        <w:rPr>
          <w:rFonts w:ascii="Times New Roman" w:hAnsi="Times New Roman"/>
          <w:sz w:val="20"/>
        </w:rPr>
      </w:pPr>
      <w:r>
        <w:rPr>
          <w:rFonts w:ascii="Times New Roman" w:hAnsi="Times New Roman"/>
          <w:sz w:val="20"/>
        </w:rPr>
        <w:t>2.25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457A</w:t>
      </w:r>
      <w:r>
        <w:rPr>
          <w:rFonts w:ascii="Times New Roman" w:hAnsi="Times New Roman"/>
          <w:sz w:val="20"/>
        </w:rPr>
        <w:t xml:space="preserve"> means the nonqualified deferred compensation rules under Section 457A of the Code and any applicable Treasury Regulations and other official guidance thereunder. </w:t>
      </w:r>
    </w:p>
    <w:p>
      <w:pPr>
        <w:pStyle w:val="TextBody"/>
        <w:bidi w:val="0"/>
        <w:spacing w:before="240" w:after="0"/>
        <w:jc w:val="left"/>
        <w:rPr>
          <w:rFonts w:ascii="Times New Roman" w:hAnsi="Times New Roman"/>
          <w:sz w:val="20"/>
        </w:rPr>
      </w:pPr>
      <w:r>
        <w:rPr>
          <w:rFonts w:ascii="Times New Roman" w:hAnsi="Times New Roman"/>
          <w:sz w:val="20"/>
        </w:rPr>
        <w:t>2.26 </w:t>
      </w:r>
      <w:r>
        <w:rPr>
          <w:rFonts w:ascii="Times New Roman" w:hAnsi="Times New Roman"/>
          <w:b/>
          <w:sz w:val="20"/>
          <w:u w:val="single"/>
        </w:rPr>
        <w:t>Share</w:t>
      </w:r>
      <w:r>
        <w:rPr>
          <w:rFonts w:ascii="Times New Roman" w:hAnsi="Times New Roman"/>
          <w:sz w:val="20"/>
        </w:rPr>
        <w:t xml:space="preserve"> means a share of Common Stock. </w:t>
      </w:r>
    </w:p>
    <w:p>
      <w:pPr>
        <w:pStyle w:val="TextBody"/>
        <w:bidi w:val="0"/>
        <w:spacing w:before="240" w:after="0"/>
        <w:jc w:val="left"/>
        <w:rPr>
          <w:rFonts w:ascii="Times New Roman" w:hAnsi="Times New Roman"/>
          <w:sz w:val="20"/>
        </w:rPr>
      </w:pPr>
      <w:r>
        <w:rPr>
          <w:rFonts w:ascii="Times New Roman" w:hAnsi="Times New Roman"/>
          <w:sz w:val="20"/>
        </w:rPr>
        <w:t>2.27 </w:t>
      </w:r>
      <w:r>
        <w:rPr>
          <w:rFonts w:ascii="Times New Roman" w:hAnsi="Times New Roman"/>
          <w:b/>
          <w:sz w:val="20"/>
          <w:u w:val="single"/>
        </w:rPr>
        <w:t>Subsidiary</w:t>
      </w:r>
      <w:r>
        <w:rPr>
          <w:rFonts w:ascii="Times New Roman" w:hAnsi="Times New Roman"/>
          <w:sz w:val="20"/>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 w:hAnsi="Times New Roman"/>
          <w:sz w:val="20"/>
          <w:u w:val="single"/>
        </w:rPr>
        <w:t>provided</w:t>
      </w:r>
      <w:r>
        <w:rPr>
          <w:rFonts w:ascii="Times New Roman" w:hAnsi="Times New Roman"/>
          <w:sz w:val="20"/>
        </w:rPr>
        <w:t xml:space="preserve">, however, that a limited liability company or partnership may be treated as a Subsidiary to the extent either (a) such entity is treated as a disregarded entity under Treasury Regulations § 301.7701-3(a) by reason of the Company or any other Subsidiary that is a corporation being the sole owner of such entity, or (b) such entity elects to be classified as a corporation under Treasury Regulations §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 </w:t>
      </w:r>
    </w:p>
    <w:p>
      <w:pPr>
        <w:pStyle w:val="TextBody"/>
        <w:bidi w:val="0"/>
        <w:spacing w:before="240" w:after="0"/>
        <w:jc w:val="left"/>
        <w:rPr>
          <w:rFonts w:ascii="Times New Roman" w:hAnsi="Times New Roman"/>
          <w:sz w:val="20"/>
        </w:rPr>
      </w:pPr>
      <w:r>
        <w:rPr>
          <w:rFonts w:ascii="Times New Roman" w:hAnsi="Times New Roman"/>
          <w:sz w:val="20"/>
        </w:rPr>
        <w:t>2.28 </w:t>
      </w:r>
      <w:r>
        <w:rPr>
          <w:rFonts w:ascii="Times New Roman" w:hAnsi="Times New Roman"/>
          <w:b/>
          <w:sz w:val="20"/>
          <w:u w:val="single"/>
        </w:rPr>
        <w:t>Trading</w:t>
      </w:r>
      <w:r>
        <w:rPr>
          <w:rFonts w:ascii="Times New Roman" w:hAnsi="Times New Roman"/>
          <w:sz w:val="20"/>
          <w:u w:val="single"/>
        </w:rPr>
        <w:t xml:space="preserve"> </w:t>
      </w:r>
      <w:r>
        <w:rPr>
          <w:rFonts w:ascii="Times New Roman" w:hAnsi="Times New Roman"/>
          <w:b/>
          <w:sz w:val="20"/>
          <w:u w:val="single"/>
        </w:rPr>
        <w:t>Day</w:t>
      </w:r>
      <w:r>
        <w:rPr>
          <w:rFonts w:ascii="Times New Roman" w:hAnsi="Times New Roman"/>
          <w:sz w:val="20"/>
        </w:rPr>
        <w:t xml:space="preserve"> means a day on which national stock exchanges in the United States are open for trading.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SHARES SUBJECT TO THIS PLAN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Number of Shares</w:t>
      </w:r>
      <w:r>
        <w:rPr>
          <w:rFonts w:ascii="Times New Roman" w:hAnsi="Times New Roman"/>
          <w:sz w:val="20"/>
        </w:rPr>
        <w:t xml:space="preserve">. Subject to Article VIII, the aggregate number of Shares that may be issued pursuant to rights granted under this Plan shall be 500,000 Shares. In addition to the foregoing, subject to Article VIII, on the first day of each calendar year beginning on and including January 1, 2026 and ending on and including January 1, 2035, the number of Shares available for issuance under this Plan shall be increased by the number of Shares equal to the lesser of (a) 1% of the number of Shares outstanding on the final day of the immediately preceding calendar year and (b) such smaller number of Shares as determined by the Board. Notwithstanding anything in this Section 3.1 to the contrary, the number of Shares that may be issued or transferred pursuant to the rights granted under the Plan (including, for the avoidance of doubt, under the Section 423 Component) shall not exceed an aggregate of 5,000,000 Shares, subject to Article VIII. If any right granted under this Plan shall for any reason terminate without having been exercised, the Shares not purchased under such right shall again become available for issuance under this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Stock Distributed</w:t>
      </w:r>
      <w:r>
        <w:rPr>
          <w:rFonts w:ascii="Times New Roman" w:hAnsi="Times New Roman"/>
          <w:sz w:val="20"/>
        </w:rPr>
        <w:t xml:space="preserve">. Any Common Stock distributed pursuant to this Plan may consist, in whole or in part, of authorized and unissued Common Stock, treasury stock or Common Stock purchased on the open market.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OFFERING PERIODS; OFFERING DOCUMENTS; PURCHASE DATES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Offering Periods</w:t>
      </w:r>
      <w:r>
        <w:rPr>
          <w:rFonts w:ascii="Times New Roman" w:hAnsi="Times New Roman"/>
          <w:sz w:val="20"/>
        </w:rPr>
        <w:t>. The Administrator may from time to time grant, or provide for the grant of, rights to purchase Shares under this Plan to Eligible Employees during one or more periods (each, an </w:t>
      </w:r>
      <w:r>
        <w:rPr>
          <w:rFonts w:ascii="Times New Roman" w:hAnsi="Times New Roman"/>
          <w:b/>
          <w:sz w:val="20"/>
          <w:u w:val="single"/>
        </w:rPr>
        <w:t>Offering Period</w:t>
      </w:r>
      <w:r>
        <w:rPr>
          <w:rFonts w:ascii="Times New Roman" w:hAnsi="Times New Roman"/>
          <w:sz w:val="20"/>
        </w:rPr>
        <w:t>) selected by the Administrator. The terms and conditions applicable to each Offering Period shall be set forth in an </w:t>
      </w:r>
      <w:r>
        <w:rPr>
          <w:rFonts w:ascii="Times New Roman" w:hAnsi="Times New Roman"/>
          <w:b/>
          <w:sz w:val="20"/>
          <w:u w:val="single"/>
        </w:rPr>
        <w:t>Offering Document</w:t>
      </w:r>
      <w:r>
        <w:rPr>
          <w:rFonts w:ascii="Times New Roman" w:hAnsi="Times New Roman"/>
          <w:sz w:val="20"/>
        </w:rPr>
        <w:t xml:space="preserve"> adopted by the Administrator, which Offering Document shall be in such form and shall contain such terms and conditions as the Administrator shall deem appropriate in its sole discretion. The Administrator shall establish in each Offering Document one or more Purchase Periods during such Offering Period during which rights granted under this Plan shall be exercised and purchases of Shares carried out during such Offering Period shall be made in accordance with such Offering Document and this Plan.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 Notwithstanding the foregoing, the terms of separate Offering Periods under this Plan need not be identical. Solely by way of example and without limiting the foregoing, the Company could, but shall not be required to, provide for simultaneous Offerings under the Section 423 Component and the Non-Section 423 Component of this Plan.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Offering Documents</w:t>
      </w:r>
      <w:r>
        <w:rPr>
          <w:rFonts w:ascii="Times New Roman" w:hAnsi="Times New Roman"/>
          <w:sz w:val="20"/>
        </w:rPr>
        <w:t xml:space="preserve">. Each Offering Document with respect to an Offering Period shall specify (through incorporation of the provisions of this Plan by reference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the length of the Offering Period, which period shall not exceed 27 months; </w:t>
      </w:r>
    </w:p>
    <w:p>
      <w:pPr>
        <w:pStyle w:val="TextBody"/>
        <w:bidi w:val="0"/>
        <w:spacing w:before="240" w:after="0"/>
        <w:jc w:val="left"/>
        <w:rPr>
          <w:rFonts w:ascii="Times New Roman" w:hAnsi="Times New Roman"/>
          <w:sz w:val="20"/>
        </w:rPr>
      </w:pPr>
      <w:r>
        <w:rPr>
          <w:rFonts w:ascii="Times New Roman" w:hAnsi="Times New Roman"/>
          <w:sz w:val="20"/>
        </w:rPr>
        <w:t xml:space="preserve">(b) the length of the Purchase Period(s) within the Offering Period, if applicable; </w:t>
      </w:r>
    </w:p>
    <w:p>
      <w:pPr>
        <w:pStyle w:val="TextBody"/>
        <w:bidi w:val="0"/>
        <w:spacing w:before="240" w:after="0"/>
        <w:jc w:val="left"/>
        <w:rPr>
          <w:rFonts w:ascii="Times New Roman" w:hAnsi="Times New Roman"/>
          <w:sz w:val="20"/>
        </w:rPr>
      </w:pPr>
      <w:r>
        <w:rPr>
          <w:rFonts w:ascii="Times New Roman" w:hAnsi="Times New Roman"/>
          <w:sz w:val="20"/>
        </w:rPr>
        <w:t xml:space="preserve">(c) the maximum number of Shares that may be purchased by any Eligible Employee during such Offering Period (which, in the absence of a contrary designation by the Administrator, shall be 1,000 Shares); and </w:t>
      </w:r>
    </w:p>
    <w:p>
      <w:pPr>
        <w:pStyle w:val="TextBody"/>
        <w:bidi w:val="0"/>
        <w:spacing w:before="240" w:after="0"/>
        <w:jc w:val="left"/>
        <w:rPr>
          <w:rFonts w:ascii="Times New Roman" w:hAnsi="Times New Roman"/>
          <w:sz w:val="20"/>
        </w:rPr>
      </w:pPr>
      <w:r>
        <w:rPr>
          <w:rFonts w:ascii="Times New Roman" w:hAnsi="Times New Roman"/>
          <w:sz w:val="20"/>
        </w:rPr>
        <w:t xml:space="preserve">(d) such other provisions as the Administrator determines are appropriate, subject to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AND PARTICIPATION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Eligibility</w:t>
      </w:r>
      <w:r>
        <w:rPr>
          <w:rFonts w:ascii="Times New Roman" w:hAnsi="Times New Roman"/>
          <w:sz w:val="20"/>
        </w:rPr>
        <w:t xml:space="preserve">. Any Eligible Employee who shall be employed by the Company or a Designated Subsidiary on a given Enrollment Date for an Offering Period shall be eligible to participate in this Plan during such Offering Period, subject to the requirements of this Article V and, for the Section 423 Component, the limitations imposed by Section 423(b) of the Code.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Enrollment in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set forth herein, in an Offering Document or as determined by the Administrator, an Eligible Employee may become a Participant in this Plan for an Offering Period by delivering a subscription agreement to the Company by such time prior to the Enrollment Date for such Offering Period (or such other date specified in the Offering Document) designated by the Administrator and in such form as the Company provides. </w:t>
      </w:r>
    </w:p>
    <w:p>
      <w:pPr>
        <w:pStyle w:val="TextBody"/>
        <w:bidi w:val="0"/>
        <w:spacing w:before="240" w:after="0"/>
        <w:jc w:val="left"/>
        <w:rPr>
          <w:rFonts w:ascii="Times New Roman" w:hAnsi="Times New Roman"/>
          <w:sz w:val="20"/>
        </w:rPr>
      </w:pPr>
      <w:r>
        <w:rPr>
          <w:rFonts w:ascii="Times New Roman" w:hAnsi="Times New Roman"/>
          <w:sz w:val="20"/>
        </w:rPr>
        <w:t xml:space="preserve">(b) Each such subscription agreement shall designate a whole number percentage of such Eligible Employees Compensation to be withheld by the Company or the Designated Subsidiary employing such Eligible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 on each payday during the Offering Period as payroll deductions under this Plan. Such payroll deductions may not be less than the minimum amount specified by the Administrator in the applicable Offering Document (which shall be 1% in the absence of any such designation) and may not be greater than the maximum amount specified by the Administrator in the applicable Offering Document (which shall be 15% in the absence of any such designation). The payroll deductions made for each Participant shall be credited to an account for such Participant under this Plan and shall be deposited with the general funds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A Participant may decrease (but not increase) the percentage of Compensation designated in the Participants subscription agreement (to as low as zero), subject to the limits of this </w:t>
      </w:r>
      <w:r>
        <w:rPr>
          <w:rFonts w:ascii="Times New Roman" w:hAnsi="Times New Roman"/>
          <w:sz w:val="20"/>
          <w:u w:val="single"/>
        </w:rPr>
        <w:t>Section 5.2</w:t>
      </w:r>
      <w:r>
        <w:rPr>
          <w:rFonts w:ascii="Times New Roman" w:hAnsi="Times New Roman"/>
          <w:sz w:val="20"/>
        </w:rPr>
        <w:t xml:space="preserve">, at any time during an Offering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Administrator may limit the number of times a Participant may decrease the Participants payroll deduction elections during each Offering Period in the applicable Offering Document (and in the absence of any specific designation by the Administrator, a Participant shall be allowed one decrease (but no increases) to the Participants payroll deduction elections during each Offering Period with respect to such Offering Period). Any such change of payroll deductions shall be effective with the first full payroll period following 10 business days after the Companys receipt of the new subscription agreement (or such shorter or longer period as may be specified by the Administrator in the applicable Offering Document). If a Participant decreases the Participants payroll deductions to zero, such Participants cumulative payroll deductions prior to such decrease shall remain in the Participants account and shall be applied to the purchase of Shares on the next occurring Purchase Date and shall not be paid to such Participant unless the Participant withdraws from participation in this Plan pursuant to Article VII. </w:t>
      </w:r>
    </w:p>
    <w:p>
      <w:pPr>
        <w:pStyle w:val="TextBody"/>
        <w:bidi w:val="0"/>
        <w:spacing w:before="240" w:after="0"/>
        <w:jc w:val="left"/>
        <w:rPr>
          <w:rFonts w:ascii="Times New Roman" w:hAnsi="Times New Roman"/>
          <w:sz w:val="20"/>
        </w:rPr>
      </w:pPr>
      <w:r>
        <w:rPr>
          <w:rFonts w:ascii="Times New Roman" w:hAnsi="Times New Roman"/>
          <w:sz w:val="20"/>
        </w:rPr>
        <w:t xml:space="preserve">(d) Except as otherwise set forth in </w:t>
      </w:r>
      <w:r>
        <w:rPr>
          <w:rFonts w:ascii="Times New Roman" w:hAnsi="Times New Roman"/>
          <w:sz w:val="20"/>
          <w:u w:val="single"/>
        </w:rPr>
        <w:t>Section 5.8</w:t>
      </w:r>
      <w:r>
        <w:rPr>
          <w:rFonts w:ascii="Times New Roman" w:hAnsi="Times New Roman"/>
          <w:sz w:val="20"/>
        </w:rPr>
        <w:t xml:space="preserve"> or in an Offering Document, or as determined by the Administrator, a Participant may participate in this Plan only by means of payroll deduction and may not make contributions by lump sum payment for any Offering Period. Notwithstanding any other provisions of this Plan to the contrary, in non-U.S. jurisdictions where participation in this Plan through payroll deductions is prohibited, the Administrator may provide that an Eligible Employee may elect to participate through contributions to the Participants account under this Plan in a form acceptable to the Administrator in lieu of or in addition to payroll deductions;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any Offering under the Section 423 Component, any such alternative method of contribution must comply with the requirements of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Payroll Deductions</w:t>
      </w:r>
      <w:r>
        <w:rPr>
          <w:rFonts w:ascii="Times New Roman" w:hAnsi="Times New Roman"/>
          <w:sz w:val="20"/>
        </w:rPr>
        <w:t xml:space="preserve">. Except as otherwise set forth in </w:t>
      </w:r>
      <w:r>
        <w:rPr>
          <w:rFonts w:ascii="Times New Roman" w:hAnsi="Times New Roman"/>
          <w:sz w:val="20"/>
          <w:u w:val="single"/>
        </w:rPr>
        <w:t>Section 5.8</w:t>
      </w:r>
      <w:r>
        <w:rPr>
          <w:rFonts w:ascii="Times New Roman" w:hAnsi="Times New Roman"/>
          <w:sz w:val="20"/>
        </w:rPr>
        <w:t xml:space="preserve"> or in an Offering Document, or as determined by the Administrator,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w:t>
      </w:r>
      <w:r>
        <w:rPr>
          <w:rFonts w:ascii="Times New Roman" w:hAnsi="Times New Roman"/>
          <w:sz w:val="20"/>
          <w:u w:val="single"/>
        </w:rPr>
        <w:t>Sections 5.2</w:t>
      </w:r>
      <w:r>
        <w:rPr>
          <w:rFonts w:ascii="Times New Roman" w:hAnsi="Times New Roman"/>
          <w:sz w:val="20"/>
        </w:rPr>
        <w:t xml:space="preserve"> and </w:t>
      </w:r>
      <w:r>
        <w:rPr>
          <w:rFonts w:ascii="Times New Roman" w:hAnsi="Times New Roman"/>
          <w:sz w:val="20"/>
          <w:u w:val="single"/>
        </w:rPr>
        <w:t>5.6</w:t>
      </w:r>
      <w:r>
        <w:rPr>
          <w:rFonts w:ascii="Times New Roman" w:hAnsi="Times New Roman"/>
          <w:sz w:val="20"/>
        </w:rPr>
        <w:t xml:space="preserve">, respectively.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Effect of Enrollment</w:t>
      </w:r>
      <w:r>
        <w:rPr>
          <w:rFonts w:ascii="Times New Roman" w:hAnsi="Times New Roman"/>
          <w:sz w:val="20"/>
        </w:rPr>
        <w:t xml:space="preserve">. A Participants completion of a subscription agreement will automatically enroll such Participant in this Plan for each subsequent Offering Period on the terms contained therein until the Participant either submits a new subscription agreement, withdraws from participation under this Plan as provided in Article VII or otherwise becomes ineligible to participate in this Plan.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Limitation on Purchase of Common Stock</w:t>
      </w:r>
      <w:r>
        <w:rPr>
          <w:rFonts w:ascii="Times New Roman" w:hAnsi="Times New Roman"/>
          <w:sz w:val="20"/>
        </w:rPr>
        <w:t xml:space="preserve">. An Eligible Employee may be granted rights under the Section 423 Component of this Plan only if such rights, together with any other rights granted to such Eligible Employee under any employee stock purchase plans of the Company, any Parent, or any Subsidiary, as specified by Section 423(b)(8) of the Code, do not permit such Eligible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Suspension of Payroll Deductions</w:t>
      </w:r>
      <w:r>
        <w:rPr>
          <w:rFonts w:ascii="Times New Roman" w:hAnsi="Times New Roman"/>
          <w:sz w:val="20"/>
        </w:rPr>
        <w:t xml:space="preserve">. Notwithstanding the foregoing, with respect to the Section 423 Component, to the extent necessary to comply with Section 423(b)(8) of the Code, </w:t>
      </w:r>
      <w:r>
        <w:rPr>
          <w:rFonts w:ascii="Times New Roman" w:hAnsi="Times New Roman"/>
          <w:sz w:val="20"/>
          <w:u w:val="single"/>
        </w:rPr>
        <w:t>Section 5.5</w:t>
      </w:r>
      <w:r>
        <w:rPr>
          <w:rFonts w:ascii="Times New Roman" w:hAnsi="Times New Roman"/>
          <w:sz w:val="20"/>
        </w:rPr>
        <w:t xml:space="preserve"> or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w:t>
      </w:r>
      <w:r>
        <w:rPr>
          <w:rFonts w:ascii="Times New Roman" w:hAnsi="Times New Roman"/>
          <w:sz w:val="20"/>
          <w:u w:val="single"/>
        </w:rPr>
        <w:t>Section 5.5</w:t>
      </w:r>
      <w:r>
        <w:rPr>
          <w:rFonts w:ascii="Times New Roman" w:hAnsi="Times New Roman"/>
          <w:sz w:val="20"/>
        </w:rPr>
        <w:t xml:space="preserve"> or the other limitations set forth in this Plan shall be paid to such Participant, without interest, in one lump sum in cash as soon as reasonably practicable after the Purchase Date.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Foreign Employees</w:t>
      </w:r>
      <w:r>
        <w:rPr>
          <w:rFonts w:ascii="Times New Roman" w:hAnsi="Times New Roman"/>
          <w:sz w:val="20"/>
        </w:rPr>
        <w:t xml:space="preserve">. To facilitate participation in this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With respect to the Section 423 Component, such special terms may not be more favorable than the terms of rights granted under this Plan to Eligible Employees who are residents of the United States, and must satisfy the requirements for rights to purchase Shares granted pursuant to an employee stock purchase plan that are set forth under Section 423 of the Code. Moreover, the Administrator may approve such supplements to, or amendments, restatements, or alternative versions of, this Plan as it may consider necessary or appropriate for such purposes without thereby affecting the terms of this Plan as in effect for any other purpose. Notwithstanding the foregoing,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and/or establishment of bank or trust accounts to hold payroll deductions or contributions.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Leave of Absence</w:t>
      </w:r>
      <w:r>
        <w:rPr>
          <w:rFonts w:ascii="Times New Roman" w:hAnsi="Times New Roman"/>
          <w:sz w:val="20"/>
        </w:rPr>
        <w:t xml:space="preserve">. During leaves of absence approved by the Company meeting the requirements of Treasury Regulations § 1.421-1(h)(2) under the Code, a Participant may continue participation in this Plan by making cash payments to the Company on the Participants normal payday equal to the Participants authorized payroll deduction.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GRANT AND EXERCISE OF RIGHTS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Grant of Rights</w:t>
      </w:r>
      <w:r>
        <w:rPr>
          <w:rFonts w:ascii="Times New Roman" w:hAnsi="Times New Roman"/>
          <w:sz w:val="20"/>
        </w:rPr>
        <w:t xml:space="preserve">. On the Enrollment Date of each Offering Period, each Eligible Employee participating in such Offering Period pursuant to the terms of the Plan shall be granted a right to purchase, subject to the maximum number of Shares specified under </w:t>
      </w:r>
      <w:r>
        <w:rPr>
          <w:rFonts w:ascii="Times New Roman" w:hAnsi="Times New Roman"/>
          <w:sz w:val="20"/>
          <w:u w:val="single"/>
        </w:rPr>
        <w:t>Section 4.2</w:t>
      </w:r>
      <w:r>
        <w:rPr>
          <w:rFonts w:ascii="Times New Roman" w:hAnsi="Times New Roman"/>
          <w:sz w:val="20"/>
        </w:rPr>
        <w:t xml:space="preserve"> and the limits in </w:t>
      </w:r>
      <w:r>
        <w:rPr>
          <w:rFonts w:ascii="Times New Roman" w:hAnsi="Times New Roman"/>
          <w:sz w:val="20"/>
          <w:u w:val="single"/>
        </w:rPr>
        <w:t>Section 5.5</w:t>
      </w:r>
      <w:r>
        <w:rPr>
          <w:rFonts w:ascii="Times New Roman" w:hAnsi="Times New Roman"/>
          <w:sz w:val="20"/>
        </w:rPr>
        <w:t xml:space="preserve">, on each Purchase Date during such Offering Period (at the applicable Purchase Price), a number of whole Shares determined by dividing (a) such Participants payroll deductions accumulated prior to such Purchase Date and retained in the Participants account as of the Purchase Date, by (b) the applicable Purchase Price (rounded down to the nearest Share). Such right shall expire on the earliest of: (i) the last Purchase Date of the Offering Period, (ii) the last day of the Offering Period, and (iii) the date on which the Participant withdraws from participation in the Plan in accordance with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7.3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Exercise of Rights</w:t>
      </w:r>
      <w:r>
        <w:rPr>
          <w:rFonts w:ascii="Times New Roman" w:hAnsi="Times New Roman"/>
          <w:sz w:val="20"/>
        </w:rPr>
        <w:t xml:space="preserve">. On each Purchase Date, each Participants accumulated payroll deductions and any other additional payments specifically provided for in the applicable Offering Document will be applied to the purchase of whole Shares pursuant to Section 6.1, up to the maximum number of Shares permitted pursuant to the terms of this Plan and the applicable Offering Document, at the Purchase Price. No fractional Shares shall be issued upon the exercise of rights granted under this Plan, unless the Offering Document specifically provides otherwise. Any cash in lieu of fractional Shares remaining after the purchase of whole Shares upon exercise of a purchase right will be carried forward and applied toward the purchase of whole Shares for the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subsequent Offering Period. Shares issued pursuant to this Plan may be evidenced in such manner as the Administrator may determine and may be issued in certificated form or issued pursuant to book-entry procedures.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Pro Rata Allocation of Shares</w:t>
      </w:r>
      <w:r>
        <w:rPr>
          <w:rFonts w:ascii="Times New Roman" w:hAnsi="Times New Roman"/>
          <w:sz w:val="20"/>
        </w:rPr>
        <w:t xml:space="preserve">. If the Administrator determines that, on a given Purchase Date, the number of Shares with respect to which rights are to be exercised may exceed (a) the number of Shares that were available for issuance under this Plan on the Enrollment Date of the applicable Offering Period, or (b) the number of Shares available for issuance under this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a pro rata allocation of the Shares available on the Enrollment Date of any applicable Offering Period pursuant to the preceding sentence, notwithstanding any authorization of additional Shares for issuance under this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Withholding</w:t>
      </w:r>
      <w:r>
        <w:rPr>
          <w:rFonts w:ascii="Times New Roman" w:hAnsi="Times New Roman"/>
          <w:sz w:val="20"/>
        </w:rPr>
        <w:t xml:space="preserve">. At the time a Participants rights under this Plan are exercised, in whole or in part, or at the time some or all of the Shares issued under this Plan are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without limitation, any withholding required to make available to the Company any tax deductions or benefits attributable to sale or early disposition of Shares by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Conditions to Issuance of Shares</w:t>
      </w:r>
      <w:r>
        <w:rPr>
          <w:rFonts w:ascii="Times New Roman" w:hAnsi="Times New Roman"/>
          <w:sz w:val="20"/>
        </w:rPr>
        <w:t xml:space="preserve">. The Company shall not be required to issue or deliver any certificate or certificates for, or make any book entries evidencing, Shares purchased upon the exercise of rights under this Plan prior to fulfillment of all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admission of such Shares to listing on all stock exchanges, if any, on which the Common Stock is then listed; </w:t>
      </w:r>
    </w:p>
    <w:p>
      <w:pPr>
        <w:pStyle w:val="TextBody"/>
        <w:bidi w:val="0"/>
        <w:spacing w:before="240" w:after="0"/>
        <w:jc w:val="left"/>
        <w:rPr>
          <w:rFonts w:ascii="Times New Roman" w:hAnsi="Times New Roman"/>
          <w:sz w:val="20"/>
        </w:rPr>
      </w:pPr>
      <w:r>
        <w:rPr>
          <w:rFonts w:ascii="Times New Roman" w:hAnsi="Times New Roman"/>
          <w:sz w:val="20"/>
        </w:rPr>
        <w:t xml:space="preserve">(b)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(c) The obtaining of any approval or other clearance from any state or federal governmental agency that the Administrator shall, in its absolute discretion, determine to be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(d) The payment to the Company of all amounts that it is required to withhold under federal, state or local law upon exercise of the rights, if any; and </w:t>
      </w:r>
    </w:p>
    <w:p>
      <w:pPr>
        <w:pStyle w:val="TextBody"/>
        <w:bidi w:val="0"/>
        <w:spacing w:before="240" w:after="0"/>
        <w:jc w:val="left"/>
        <w:rPr>
          <w:rFonts w:ascii="Times New Roman" w:hAnsi="Times New Roman"/>
          <w:sz w:val="20"/>
        </w:rPr>
      </w:pPr>
      <w:r>
        <w:rPr>
          <w:rFonts w:ascii="Times New Roman" w:hAnsi="Times New Roman"/>
          <w:sz w:val="20"/>
        </w:rPr>
        <w:t xml:space="preserve">(e) The lapse of such reasonable period of time following the exercise of the rights as the Administrator may from time to time establish for reasons of administrative convenience.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WITHDRAWAL; CESSATION OF ELIGIBILITY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Withdrawal</w:t>
      </w:r>
      <w:r>
        <w:rPr>
          <w:rFonts w:ascii="Times New Roman" w:hAnsi="Times New Roman"/>
          <w:sz w:val="20"/>
        </w:rPr>
        <w:t xml:space="preserve">. A Participant may withdraw during an Offering Period all, but not less than all, of the payroll deductions credited to the Participants account and not yet used to exercise the Participants rights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Plan by delivering written notice to the Company in a form acceptable to the Company and at such time prior to the Purchase Date for such Offering Period as may be established by the Administrator in the applicable Offering Document (and in the absence of any specific designation by the Administrator, no later than two weeks prior to the Purchase Date for such Offering Period). All of the Participants payroll deductions credited to the Participants account during such Offering Period not yet used to exercise the Participants rights under this Plan shall be paid to such Participant as soon as reasonably practicable after receipt of notice of withdrawal, without interest, and such Participants rights for such Offering Period shall be automatically terminated, and no further payroll deductions for the purchase of Shares shall be made for such Offering Period. If a Participant withdraws from an Offering Period, payroll deductions shall not resume at the beginning of the immediately subsequent Offering Period unless the Participant timely delivers to the Company a new subscription agreement pursuant to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Future Participation</w:t>
      </w:r>
      <w:r>
        <w:rPr>
          <w:rFonts w:ascii="Times New Roman" w:hAnsi="Times New Roman"/>
          <w:sz w:val="20"/>
        </w:rPr>
        <w:t xml:space="preserve">. A Participants withdrawal from an Offering Period shall not have any effect upon a Participants eligibility to participate in any similar plan that may hereafter be adopted by the Company or a Designated Subsidiary, or in any subsequent Offering Periods that commence after the termination of the Offering Period from which the Participant withdraws.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Cessation of Eligibility</w:t>
      </w:r>
      <w:r>
        <w:rPr>
          <w:rFonts w:ascii="Times New Roman" w:hAnsi="Times New Roman"/>
          <w:sz w:val="20"/>
        </w:rPr>
        <w:t xml:space="preserve">. Upon a Participants ceasing to be an Eligible Employee for any reason, such Participant shall be deemed to have elected to withdraw from this Plan pursuant to this Article VII, and the payroll deductions credited to such Participants account during the Offering Period shall be paid, without interest, to such Participant or, in the case of the Participants death, to the person or persons entitled thereto under </w:t>
      </w:r>
      <w:r>
        <w:rPr>
          <w:rFonts w:ascii="Times New Roman" w:hAnsi="Times New Roman"/>
          <w:sz w:val="20"/>
          <w:u w:val="single"/>
        </w:rPr>
        <w:t>Section 12.4</w:t>
      </w:r>
      <w:r>
        <w:rPr>
          <w:rFonts w:ascii="Times New Roman" w:hAnsi="Times New Roman"/>
          <w:sz w:val="20"/>
        </w:rPr>
        <w:t xml:space="preserve">,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(a) the end of the current Offering Period under the Non-Section 423 Component and (b)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ADJUSTMENTS UPON CHANGES IN STOCK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Changes in Capitalization</w:t>
      </w:r>
      <w:r>
        <w:rPr>
          <w:rFonts w:ascii="Times New Roman" w:hAnsi="Times New Roman"/>
          <w:sz w:val="20"/>
        </w:rPr>
        <w:t xml:space="preserve">. Subject to </w:t>
      </w:r>
      <w:r>
        <w:rPr>
          <w:rFonts w:ascii="Times New Roman" w:hAnsi="Times New Roman"/>
          <w:sz w:val="20"/>
          <w:u w:val="single"/>
        </w:rPr>
        <w:t>Section 8.3</w:t>
      </w:r>
      <w:r>
        <w:rPr>
          <w:rFonts w:ascii="Times New Roman" w:hAnsi="Times New Roman"/>
          <w:sz w:val="20"/>
        </w:rPr>
        <w:t xml:space="preserve">, if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to prevent dilution or enlargement of the benefits or potential benefits intended by the Company to be made available under this Plan or with respect to any outstanding purchase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this Plan, the Administrator shall make equitable adjustments, if any, to reflect such change with respect to (a) the aggregate number and type of Shares (or other securities or property) that may be issued under this Plan (including, but not limited to, adjustments of the limitations in </w:t>
      </w:r>
      <w:r>
        <w:rPr>
          <w:rFonts w:ascii="Times New Roman" w:hAnsi="Times New Roman"/>
          <w:sz w:val="20"/>
          <w:u w:val="single"/>
        </w:rPr>
        <w:t>Section 3.1</w:t>
      </w:r>
      <w:r>
        <w:rPr>
          <w:rFonts w:ascii="Times New Roman" w:hAnsi="Times New Roman"/>
          <w:sz w:val="20"/>
        </w:rPr>
        <w:t xml:space="preserve"> and the limitations established pursuant to </w:t>
      </w:r>
      <w:r>
        <w:rPr>
          <w:rFonts w:ascii="Times New Roman" w:hAnsi="Times New Roman"/>
          <w:sz w:val="20"/>
          <w:u w:val="single"/>
        </w:rPr>
        <w:t>Section 4.2</w:t>
      </w:r>
      <w:r>
        <w:rPr>
          <w:rFonts w:ascii="Times New Roman" w:hAnsi="Times New Roman"/>
          <w:sz w:val="20"/>
        </w:rPr>
        <w:t xml:space="preserve"> (as may be modified by the Offering Document) on the maximum number of Shares that may be purchased); (b) the class(es) and number of Shares and price per Share subject to outstanding rights; and (c) the Purchase Price with respect to any outstanding rights.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Other Adjustments</w:t>
      </w:r>
      <w:r>
        <w:rPr>
          <w:rFonts w:ascii="Times New Roman" w:hAnsi="Times New Roman"/>
          <w:sz w:val="20"/>
        </w:rPr>
        <w:t xml:space="preserve">. Subject to </w:t>
      </w:r>
      <w:r>
        <w:rPr>
          <w:rFonts w:ascii="Times New Roman" w:hAnsi="Times New Roman"/>
          <w:sz w:val="20"/>
          <w:u w:val="single"/>
        </w:rPr>
        <w:t>Section 8.3</w:t>
      </w:r>
      <w:r>
        <w:rPr>
          <w:rFonts w:ascii="Times New Roman" w:hAnsi="Times New Roman"/>
          <w:sz w:val="20"/>
        </w:rPr>
        <w:t xml:space="preserve">, in the event of any transaction or event described in </w:t>
      </w:r>
      <w:r>
        <w:rPr>
          <w:rFonts w:ascii="Times New Roman" w:hAnsi="Times New Roman"/>
          <w:sz w:val="20"/>
          <w:u w:val="single"/>
        </w:rPr>
        <w:t>Section 8.1</w:t>
      </w:r>
      <w:r>
        <w:rPr>
          <w:rFonts w:ascii="Times New Roman" w:hAnsi="Times New Roman"/>
          <w:sz w:val="20"/>
        </w:rPr>
        <w:t xml:space="preserve">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to prevent the dilution or enlargement of the benefits or potential benefits intended to be made available under this Plan or with respect to any right under this Plan, to facilitate such transactions or events or to give effect to such changes in laws, regulations or principles: </w:t>
      </w:r>
    </w:p>
    <w:p>
      <w:pPr>
        <w:pStyle w:val="TextBody"/>
        <w:bidi w:val="0"/>
        <w:spacing w:before="120" w:after="0"/>
        <w:jc w:val="left"/>
        <w:rPr>
          <w:rFonts w:ascii="Times New Roman" w:hAnsi="Times New Roman"/>
          <w:sz w:val="20"/>
        </w:rPr>
      </w:pPr>
      <w:r>
        <w:rPr>
          <w:rFonts w:ascii="Times New Roman" w:hAnsi="Times New Roman"/>
          <w:sz w:val="20"/>
        </w:rPr>
        <w:t xml:space="preserve">(a) To provide for either (i) the termination of any outstanding right to purchase Shares granted under this Plan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(b) To provide that the outstanding rights to purchase Shares granted under this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 </w:t>
      </w:r>
    </w:p>
    <w:p>
      <w:pPr>
        <w:pStyle w:val="TextBody"/>
        <w:bidi w:val="0"/>
        <w:spacing w:before="240" w:after="0"/>
        <w:jc w:val="left"/>
        <w:rPr>
          <w:rFonts w:ascii="Times New Roman" w:hAnsi="Times New Roman"/>
          <w:sz w:val="20"/>
        </w:rPr>
      </w:pPr>
      <w:r>
        <w:rPr>
          <w:rFonts w:ascii="Times New Roman" w:hAnsi="Times New Roman"/>
          <w:sz w:val="20"/>
        </w:rPr>
        <w:t xml:space="preserve">(c) To make adjustments in the number and type of Shares (or other securities or property) subject to outstanding rights to purchase Shares granted under this Plan and/or in the terms and conditions of outstanding rights and rights that may be granted under this Plan in the future; </w:t>
      </w:r>
    </w:p>
    <w:p>
      <w:pPr>
        <w:pStyle w:val="TextBody"/>
        <w:bidi w:val="0"/>
        <w:spacing w:before="240" w:after="0"/>
        <w:jc w:val="left"/>
        <w:rPr>
          <w:rFonts w:ascii="Times New Roman" w:hAnsi="Times New Roman"/>
          <w:sz w:val="20"/>
        </w:rPr>
      </w:pPr>
      <w:r>
        <w:rPr>
          <w:rFonts w:ascii="Times New Roman" w:hAnsi="Times New Roman"/>
          <w:sz w:val="20"/>
        </w:rPr>
        <w:t xml:space="preserve">(d) 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as of such prior purchase date; and/or </w:t>
      </w:r>
    </w:p>
    <w:p>
      <w:pPr>
        <w:pStyle w:val="TextBody"/>
        <w:bidi w:val="0"/>
        <w:spacing w:before="240" w:after="0"/>
        <w:jc w:val="left"/>
        <w:rPr>
          <w:rFonts w:ascii="Times New Roman" w:hAnsi="Times New Roman"/>
          <w:sz w:val="20"/>
        </w:rPr>
      </w:pPr>
      <w:r>
        <w:rPr>
          <w:rFonts w:ascii="Times New Roman" w:hAnsi="Times New Roman"/>
          <w:sz w:val="20"/>
        </w:rPr>
        <w:t xml:space="preserve">(e) To provide that all outstanding rights to purchase Shares granted under this Plan shall terminate without being exercised.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 Adjustment Under Certain Circumstances</w:t>
      </w:r>
      <w:r>
        <w:rPr>
          <w:rFonts w:ascii="Times New Roman" w:hAnsi="Times New Roman"/>
          <w:sz w:val="20"/>
        </w:rPr>
        <w:t xml:space="preserve">. No adjustment or action described in this Article VIII or in any other provision of this Plan shall be authorized to the extent that such adjustment or action would cause the Section 423 Component of this Plan to fail to satisfy the requirements of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No Other Rights</w:t>
      </w:r>
      <w:r>
        <w:rPr>
          <w:rFonts w:ascii="Times New Roman" w:hAnsi="Times New Roman"/>
          <w:sz w:val="20"/>
        </w:rPr>
        <w:t xml:space="preserve">. Except as expressly provided in this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this Plan or pursuant to action of the Administrator under this Plan, no issuance by the Company of shares of stock of any class, or securities convertible into shares of stock of any class, shall affect, and no adjustment by reason thereof shall be made with respect to, the number of Shares subject to outstanding rights under this Plan or the Purchase Price with respect to any outstanding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MODIFICATION,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Amendment, Modification, and Termination</w:t>
      </w:r>
      <w:r>
        <w:rPr>
          <w:rFonts w:ascii="Times New Roman" w:hAnsi="Times New Roman"/>
          <w:sz w:val="20"/>
        </w:rPr>
        <w:t xml:space="preserve">. The Administrator may amend, suspend, or terminate this Plan at any time and from time to time;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approval of the Companys stockholders shall be required to amend this Plan to: (a) increase the aggregate number, or change the type, of Shares that may be sold pursuant to rights granted under this Plan under </w:t>
      </w:r>
      <w:r>
        <w:rPr>
          <w:rFonts w:ascii="Times New Roman" w:hAnsi="Times New Roman"/>
          <w:sz w:val="20"/>
          <w:u w:val="single"/>
        </w:rPr>
        <w:t>Section 3.1</w:t>
      </w:r>
      <w:r>
        <w:rPr>
          <w:rFonts w:ascii="Times New Roman" w:hAnsi="Times New Roman"/>
          <w:sz w:val="20"/>
        </w:rPr>
        <w:t xml:space="preserve"> (other than an adjustment as provided by Article VIII); or (b) change this Plan in any manner that would be considered the adoption of a new plan within the meaning of Treasury Regulations § 1.423-2(c)(4).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Certain Changes to Plan</w:t>
      </w:r>
      <w:r>
        <w:rPr>
          <w:rFonts w:ascii="Times New Roman" w:hAnsi="Times New Roman"/>
          <w:sz w:val="20"/>
        </w:rPr>
        <w:t xml:space="preserve">. Without stockholder consent and without regard to whether any Participant rights may be considered to have been adversely affected, subject to </w:t>
      </w:r>
      <w:r>
        <w:rPr>
          <w:rFonts w:ascii="Times New Roman" w:hAnsi="Times New Roman"/>
          <w:sz w:val="20"/>
          <w:u w:val="single"/>
        </w:rPr>
        <w:t>Section 9.1</w:t>
      </w:r>
      <w:r>
        <w:rPr>
          <w:rFonts w:ascii="Times New Roman" w:hAnsi="Times New Roman"/>
          <w:sz w:val="20"/>
        </w:rPr>
        <w:t xml:space="preserve"> and, solely with respect to the Section 423 Component of this Plan,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this Plan.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Actions In the Event of Unfavorable Financial Accounting Consequences</w:t>
      </w:r>
      <w:r>
        <w:rPr>
          <w:rFonts w:ascii="Times New Roman" w:hAnsi="Times New Roman"/>
          <w:sz w:val="20"/>
        </w:rPr>
        <w:t xml:space="preserve">. If the Administrator determines that the ongoing operation of this Plan may result in unfavorable financial accounting consequences, the Administrator may, in its sole discretion and, to the extent necessary or desirable, modify or amend this Plan to reduce or eliminate such accounting consequence including, but not limited to: </w:t>
      </w:r>
    </w:p>
    <w:p>
      <w:pPr>
        <w:pStyle w:val="TextBody"/>
        <w:bidi w:val="0"/>
        <w:spacing w:before="120" w:after="0"/>
        <w:jc w:val="left"/>
        <w:rPr>
          <w:rFonts w:ascii="Times New Roman" w:hAnsi="Times New Roman"/>
          <w:sz w:val="20"/>
        </w:rPr>
      </w:pPr>
      <w:r>
        <w:rPr>
          <w:rFonts w:ascii="Times New Roman" w:hAnsi="Times New Roman"/>
          <w:sz w:val="20"/>
        </w:rPr>
        <w:t xml:space="preserve">(a) altering the Purchase Price for any Offering Period, including an Offering Period underway at the time of the change in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(b) shortening any Offering Period so that the Offering Period ends on a new Purchase Date, including an Offering Period underway at the time of the Administrator action; and </w:t>
      </w:r>
    </w:p>
    <w:p>
      <w:pPr>
        <w:pStyle w:val="TextBody"/>
        <w:bidi w:val="0"/>
        <w:spacing w:before="240" w:after="0"/>
        <w:jc w:val="left"/>
        <w:rPr>
          <w:rFonts w:ascii="Times New Roman" w:hAnsi="Times New Roman"/>
          <w:sz w:val="20"/>
        </w:rPr>
      </w:pPr>
      <w:r>
        <w:rPr>
          <w:rFonts w:ascii="Times New Roman" w:hAnsi="Times New Roman"/>
          <w:sz w:val="20"/>
        </w:rPr>
        <w:t xml:space="preserve">(c) allocating Shares. </w:t>
      </w:r>
    </w:p>
    <w:p>
      <w:pPr>
        <w:pStyle w:val="TextBody"/>
        <w:bidi w:val="0"/>
        <w:spacing w:before="240" w:after="0"/>
        <w:jc w:val="left"/>
        <w:rPr>
          <w:rFonts w:ascii="Times New Roman" w:hAnsi="Times New Roman"/>
          <w:sz w:val="20"/>
        </w:rPr>
      </w:pPr>
      <w:r>
        <w:rPr>
          <w:rFonts w:ascii="Times New Roman" w:hAnsi="Times New Roman"/>
          <w:sz w:val="20"/>
        </w:rPr>
        <w:t xml:space="preserve">Such modifications or amendments shall not require stockholder approval or the consent of any Participant.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Termination of Plan</w:t>
      </w:r>
      <w:r>
        <w:rPr>
          <w:rFonts w:ascii="Times New Roman" w:hAnsi="Times New Roman"/>
          <w:sz w:val="20"/>
        </w:rPr>
        <w:t xml:space="preserve">. Upon termination of this Plan, the balance in each Participants Plan account shall be refunded as soon as practicable after such termination, without any interest thereon. Additionally, the Administrator may, in its discretion, shorten the current Offering Period such that the Purchase Date for such Offering Period occurs prior to the termination of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TERM OF PLAN </w:t>
      </w:r>
    </w:p>
    <w:p>
      <w:pPr>
        <w:pStyle w:val="TextBody"/>
        <w:bidi w:val="0"/>
        <w:spacing w:before="240" w:after="0"/>
        <w:jc w:val="left"/>
        <w:rPr>
          <w:rFonts w:ascii="Times New Roman" w:hAnsi="Times New Roman"/>
          <w:sz w:val="20"/>
        </w:rPr>
      </w:pPr>
      <w:r>
        <w:rPr>
          <w:rFonts w:ascii="Times New Roman" w:hAnsi="Times New Roman"/>
          <w:sz w:val="20"/>
        </w:rPr>
        <w:t xml:space="preserve">This Plan shall be effective on the Effective Date, subject to approval of this Plan by the stockholders of the Company within 12 months before or after the Effective Date. No rights may be granted under this Plan prior to stockholder approval of this Plan. No rights may be granted under this Plan during any period of suspension of this Plan or after termination of this Plan. No rights may be granted under this Plan at any time following the 10th anniversary of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Administrator</w:t>
      </w:r>
      <w:r>
        <w:rPr>
          <w:rFonts w:ascii="Times New Roman" w:hAnsi="Times New Roman"/>
          <w:sz w:val="20"/>
        </w:rPr>
        <w:t>. Unless otherwise determined by the Board, the Administrator of this Plan shall be the Compensation Committee of the Board (or another committee or a subcommittee of the Board to which the Board delegates administration of this Plan) (such committee, the </w:t>
      </w:r>
      <w:r>
        <w:rPr>
          <w:rFonts w:ascii="Times New Roman" w:hAnsi="Times New Roman"/>
          <w:b/>
          <w:sz w:val="20"/>
          <w:u w:val="single"/>
        </w:rPr>
        <w:t>Committee</w:t>
      </w:r>
      <w:r>
        <w:rPr>
          <w:rFonts w:ascii="Times New Roman" w:hAnsi="Times New Roman"/>
          <w:sz w:val="20"/>
        </w:rPr>
        <w:t xml:space="preserve">). The Board may at any time vest in the Board any authority or duties for administration of this Plan. The Administrator may delegate administrative tasks under this Plan to the services of a brokerage firm, bank, or other financial institution or Employees to assist in the administration of this Plan, including establishing and maintaining an individual securities account under this Plan for each Participant.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Authority of Administrator</w:t>
      </w:r>
      <w:r>
        <w:rPr>
          <w:rFonts w:ascii="Times New Roman" w:hAnsi="Times New Roman"/>
          <w:sz w:val="20"/>
        </w:rPr>
        <w:t xml:space="preserve">. The Administrator shall have the power, subject to, and within the limitations of, the express provisions of this Plan: </w:t>
      </w:r>
    </w:p>
    <w:p>
      <w:pPr>
        <w:pStyle w:val="TextBody"/>
        <w:bidi w:val="0"/>
        <w:spacing w:before="120" w:after="0"/>
        <w:jc w:val="left"/>
        <w:rPr>
          <w:rFonts w:ascii="Times New Roman" w:hAnsi="Times New Roman"/>
          <w:sz w:val="20"/>
        </w:rPr>
      </w:pPr>
      <w:r>
        <w:rPr>
          <w:rFonts w:ascii="Times New Roman" w:hAnsi="Times New Roman"/>
          <w:sz w:val="20"/>
        </w:rPr>
        <w:t xml:space="preserve">(a) To determine when and how rights to purchase Shares shall be granted and the provisions of each offering of such rights (which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(b) To designate from time to time which Subsidiaries of the Company shall be Designated Subsidiaries, which designation may be made without the approval of the stockholders of the Company and which such designation shall specify whether the participation is in the Section 423 Component or the Non-Section 423 Component; </w:t>
      </w:r>
    </w:p>
    <w:p>
      <w:pPr>
        <w:pStyle w:val="TextBody"/>
        <w:bidi w:val="0"/>
        <w:spacing w:before="240" w:after="0"/>
        <w:jc w:val="left"/>
        <w:rPr>
          <w:rFonts w:ascii="Times New Roman" w:hAnsi="Times New Roman"/>
          <w:sz w:val="20"/>
        </w:rPr>
      </w:pPr>
      <w:r>
        <w:rPr>
          <w:rFonts w:ascii="Times New Roman" w:hAnsi="Times New Roman"/>
          <w:sz w:val="20"/>
        </w:rPr>
        <w:t xml:space="preserve">(c) To impose a mandatory holding period pursuant to which Employees may not dispose of or transfer Shares purchased under this Plan for a period of time determined by the Administrator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(d) To construe and interpret this Plan and any rights granted under it, and to establish, amend, and revoke rules and regulations for its administration, and the Administrator, in the exercise of this power, may correct any defect, omission, or inconsistency in this Plan or any Offering in a manner and to the extent it shall deem necessary or expedient to administer the Plan, subject to Section 423 of the Code for the Section 423 Component; </w:t>
      </w:r>
    </w:p>
    <w:p>
      <w:pPr>
        <w:pStyle w:val="TextBody"/>
        <w:bidi w:val="0"/>
        <w:spacing w:before="240" w:after="0"/>
        <w:jc w:val="left"/>
        <w:rPr>
          <w:rFonts w:ascii="Times New Roman" w:hAnsi="Times New Roman"/>
          <w:sz w:val="20"/>
        </w:rPr>
      </w:pPr>
      <w:r>
        <w:rPr>
          <w:rFonts w:ascii="Times New Roman" w:hAnsi="Times New Roman"/>
          <w:sz w:val="20"/>
        </w:rPr>
        <w:t xml:space="preserve">(e) To amend, suspend, or terminate this Plan as provided in Article IX; and </w:t>
      </w:r>
    </w:p>
    <w:p>
      <w:pPr>
        <w:pStyle w:val="TextBody"/>
        <w:bidi w:val="0"/>
        <w:spacing w:before="240" w:after="0"/>
        <w:jc w:val="left"/>
        <w:rPr>
          <w:rFonts w:ascii="Times New Roman" w:hAnsi="Times New Roman"/>
          <w:sz w:val="20"/>
        </w:rPr>
      </w:pPr>
      <w:r>
        <w:rPr>
          <w:rFonts w:ascii="Times New Roman" w:hAnsi="Times New Roman"/>
          <w:sz w:val="20"/>
        </w:rPr>
        <w:t xml:space="preserve">(f) Generally, to exercise such powers and to perform such acts as the Administrator deems necessary or expedient to promote the best interests of the Company and its Designated Subsidiaries and to carry out the intent that the Section 423 Component of this Plan be treated as an employee stock purchase plan within the meaning of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sz w:val="20"/>
          <w:u w:val="single"/>
        </w:rPr>
        <w:t>Decisions Binding</w:t>
      </w:r>
      <w:r>
        <w:rPr>
          <w:rFonts w:ascii="Times New Roman" w:hAnsi="Times New Roman"/>
          <w:sz w:val="20"/>
        </w:rPr>
        <w:t xml:space="preserve">. The Administrators interpretation of this Plan, any rights granted pursuant to this Plan, any subscription agreement and all decisions and determinations by the Administrator with respect to this Plan are final, binding, and conclusive on all parties.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Restriction upon Assignment</w:t>
      </w:r>
      <w:r>
        <w:rPr>
          <w:rFonts w:ascii="Times New Roman" w:hAnsi="Times New Roman"/>
          <w:sz w:val="20"/>
        </w:rPr>
        <w:t xml:space="preserve">. A right granted under this Plan shall not be transferable other than by will or the Applicable Laws of descent and distribution, and is exercisable during the Participants lifetime only by the Participant. Except as provided in </w:t>
      </w:r>
      <w:r>
        <w:rPr>
          <w:rFonts w:ascii="Times New Roman" w:hAnsi="Times New Roman"/>
          <w:sz w:val="20"/>
          <w:u w:val="single"/>
        </w:rPr>
        <w:t>Section 12.4</w:t>
      </w:r>
      <w:r>
        <w:rPr>
          <w:rFonts w:ascii="Times New Roman" w:hAnsi="Times New Roman"/>
          <w:sz w:val="20"/>
        </w:rPr>
        <w:t xml:space="preserve">, a right under this Plan may not be exercised to any extent except by the Participant. The Company shall not recognize and shall be under no duty to recognize any assignment or alienation of the Participants interest in this Plan, the Participants rights under this Plan, or any rights thereunder.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Rights as a Stockholder</w:t>
      </w:r>
      <w:r>
        <w:rPr>
          <w:rFonts w:ascii="Times New Roman" w:hAnsi="Times New Roman"/>
          <w:sz w:val="20"/>
        </w:rPr>
        <w:t xml:space="preserve">. With respect to Shares subject to a right granted under this Plan, a Participant shall not be deemed to be a stockholder of the Company, and the Participant shall not have any of the rights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privileges of a stockholder, until such Shares have been issued to the Participant or the Participants nominee following exercise of the Participants rights under this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sz w:val="20"/>
          <w:u w:val="single"/>
        </w:rPr>
        <w:t>Interest</w:t>
      </w:r>
      <w:r>
        <w:rPr>
          <w:rFonts w:ascii="Times New Roman" w:hAnsi="Times New Roman"/>
          <w:sz w:val="20"/>
        </w:rPr>
        <w:t xml:space="preserve">. No interest shall accrue on the payroll deductions or contributions of a Participant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12.4 </w:t>
      </w:r>
      <w:r>
        <w:rPr>
          <w:rFonts w:ascii="Times New Roman" w:hAnsi="Times New Roman"/>
          <w:sz w:val="20"/>
          <w:u w:val="single"/>
        </w:rPr>
        <w:t>Designation of Beneficiary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Participant may, in the manner determined by the Administrator, file a written designation of a beneficiary who is to receive any Shares and/or cash, if any, from the Participants account under this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this Plan in the event of such Participants death prior to exercise of the Participants rights under this Plan. If the Participant is married and resides in a community property state, a designation of a person other than the Participants spouse as the Participants beneficiary shall not be effective without the prior written consent of the Participants spouse. </w:t>
      </w:r>
    </w:p>
    <w:p>
      <w:pPr>
        <w:pStyle w:val="TextBody"/>
        <w:bidi w:val="0"/>
        <w:spacing w:before="240" w:after="0"/>
        <w:jc w:val="left"/>
        <w:rPr>
          <w:rFonts w:ascii="Times New Roman" w:hAnsi="Times New Roman"/>
          <w:sz w:val="20"/>
        </w:rPr>
      </w:pPr>
      <w:r>
        <w:rPr>
          <w:rFonts w:ascii="Times New Roman" w:hAnsi="Times New Roman"/>
          <w:sz w:val="20"/>
        </w:rPr>
        <w:t xml:space="preserve">(b) Such designation of beneficiary may be changed by the Participant at any time by written notice to the Company. In the event of the death of a Participant and in the absence of a beneficiary validly designated under this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TextBody"/>
        <w:bidi w:val="0"/>
        <w:spacing w:before="240" w:after="0"/>
        <w:jc w:val="left"/>
        <w:rPr>
          <w:rFonts w:ascii="Times New Roman" w:hAnsi="Times New Roman"/>
          <w:sz w:val="20"/>
        </w:rPr>
      </w:pPr>
      <w:r>
        <w:rPr>
          <w:rFonts w:ascii="Times New Roman" w:hAnsi="Times New Roman"/>
          <w:sz w:val="20"/>
        </w:rPr>
        <w:t xml:space="preserve">12.5 </w:t>
      </w:r>
      <w:r>
        <w:rPr>
          <w:rFonts w:ascii="Times New Roman" w:hAnsi="Times New Roman"/>
          <w:sz w:val="20"/>
          <w:u w:val="single"/>
        </w:rPr>
        <w:t>Notices</w:t>
      </w:r>
      <w:r>
        <w:rPr>
          <w:rFonts w:ascii="Times New Roman" w:hAnsi="Times New Roman"/>
          <w:sz w:val="20"/>
        </w:rPr>
        <w:t xml:space="preserve">. All notices or other communications by a Participant to the Company under or in connection with this Plan shall be deemed to have been duly given when received in the form specified by the Company at the location, or by the person, designated by the Company for the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12.6 </w:t>
      </w:r>
      <w:r>
        <w:rPr>
          <w:rFonts w:ascii="Times New Roman" w:hAnsi="Times New Roman"/>
          <w:sz w:val="20"/>
          <w:u w:val="single"/>
        </w:rPr>
        <w:t>Equal Rights and Privileges</w:t>
      </w:r>
      <w:r>
        <w:rPr>
          <w:rFonts w:ascii="Times New Roman" w:hAnsi="Times New Roman"/>
          <w:sz w:val="20"/>
        </w:rPr>
        <w:t xml:space="preserve">. Subject to </w:t>
      </w:r>
      <w:r>
        <w:rPr>
          <w:rFonts w:ascii="Times New Roman" w:hAnsi="Times New Roman"/>
          <w:sz w:val="20"/>
          <w:u w:val="single"/>
        </w:rPr>
        <w:t>Section 5.7</w:t>
      </w:r>
      <w:r>
        <w:rPr>
          <w:rFonts w:ascii="Times New Roman" w:hAnsi="Times New Roman"/>
          <w:sz w:val="20"/>
        </w:rPr>
        <w:t xml:space="preserve">, all Eligible Employees will have equal rights and privileges under the Section 423 Component of this Plan so that the Section 423 Component of this Plan qualifies as an employee stock purchase plan within the meaning of Section 423 of the Code. Subject to </w:t>
      </w:r>
      <w:r>
        <w:rPr>
          <w:rFonts w:ascii="Times New Roman" w:hAnsi="Times New Roman"/>
          <w:sz w:val="20"/>
          <w:u w:val="single"/>
        </w:rPr>
        <w:t>Section 5.7</w:t>
      </w:r>
      <w:r>
        <w:rPr>
          <w:rFonts w:ascii="Times New Roman" w:hAnsi="Times New Roman"/>
          <w:sz w:val="20"/>
        </w:rPr>
        <w:t xml:space="preserve">, any provision of the Section 423 Component of this Plan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 </w:t>
      </w:r>
    </w:p>
    <w:p>
      <w:pPr>
        <w:pStyle w:val="TextBody"/>
        <w:bidi w:val="0"/>
        <w:spacing w:before="240" w:after="0"/>
        <w:jc w:val="left"/>
        <w:rPr>
          <w:rFonts w:ascii="Times New Roman" w:hAnsi="Times New Roman"/>
          <w:sz w:val="20"/>
        </w:rPr>
      </w:pPr>
      <w:r>
        <w:rPr>
          <w:rFonts w:ascii="Times New Roman" w:hAnsi="Times New Roman"/>
          <w:sz w:val="20"/>
        </w:rPr>
        <w:t xml:space="preserve">12.7 </w:t>
      </w:r>
      <w:r>
        <w:rPr>
          <w:rFonts w:ascii="Times New Roman" w:hAnsi="Times New Roman"/>
          <w:sz w:val="20"/>
          <w:u w:val="single"/>
        </w:rPr>
        <w:t>Use of Funds</w:t>
      </w:r>
      <w:r>
        <w:rPr>
          <w:rFonts w:ascii="Times New Roman" w:hAnsi="Times New Roman"/>
          <w:sz w:val="20"/>
        </w:rPr>
        <w:t xml:space="preserve">. All payroll deductions received or held by the Company under this Plan may be used by the Company for any corporate purpose, and the Company shall not be obligated to segregate such payroll deductions. </w:t>
      </w:r>
    </w:p>
    <w:p>
      <w:pPr>
        <w:pStyle w:val="TextBody"/>
        <w:bidi w:val="0"/>
        <w:spacing w:before="240" w:after="0"/>
        <w:jc w:val="left"/>
        <w:rPr>
          <w:rFonts w:ascii="Times New Roman" w:hAnsi="Times New Roman"/>
          <w:sz w:val="20"/>
        </w:rPr>
      </w:pPr>
      <w:r>
        <w:rPr>
          <w:rFonts w:ascii="Times New Roman" w:hAnsi="Times New Roman"/>
          <w:sz w:val="20"/>
        </w:rPr>
        <w:t xml:space="preserve">12.8 </w:t>
      </w:r>
      <w:r>
        <w:rPr>
          <w:rFonts w:ascii="Times New Roman" w:hAnsi="Times New Roman"/>
          <w:sz w:val="20"/>
          <w:u w:val="single"/>
        </w:rPr>
        <w:t>Reports</w:t>
      </w:r>
      <w:r>
        <w:rPr>
          <w:rFonts w:ascii="Times New Roman" w:hAnsi="Times New Roman"/>
          <w:sz w:val="20"/>
        </w:rPr>
        <w:t xml:space="preserve">. Statements of account shall be given to Participants at least annually, which statements shall set forth the amounts of payroll deductions, the Purchase Price, the number of Shares purchased, and the remaining cash balance, if any. </w:t>
      </w:r>
    </w:p>
    <w:p>
      <w:pPr>
        <w:pStyle w:val="TextBody"/>
        <w:bidi w:val="0"/>
        <w:spacing w:before="240" w:after="0"/>
        <w:jc w:val="left"/>
        <w:rPr>
          <w:rFonts w:ascii="Times New Roman" w:hAnsi="Times New Roman"/>
          <w:sz w:val="20"/>
        </w:rPr>
      </w:pPr>
      <w:r>
        <w:rPr>
          <w:rFonts w:ascii="Times New Roman" w:hAnsi="Times New Roman"/>
          <w:sz w:val="20"/>
        </w:rPr>
        <w:t xml:space="preserve">12.9 </w:t>
      </w:r>
      <w:r>
        <w:rPr>
          <w:rFonts w:ascii="Times New Roman" w:hAnsi="Times New Roman"/>
          <w:sz w:val="20"/>
          <w:u w:val="single"/>
        </w:rPr>
        <w:t>No Employment Rights</w:t>
      </w:r>
      <w:r>
        <w:rPr>
          <w:rFonts w:ascii="Times New Roman" w:hAnsi="Times New Roman"/>
          <w:sz w:val="20"/>
        </w:rPr>
        <w:t xml:space="preserve">. Nothing in this Plan shall be construed to give any person (including any Eligible Employee or Participant) the right to employment with (or to remain in the employ of)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Parent or Subsidiary thereof or affect the right of the Company or any Parent or Subsidiary thereof to terminate the employment of any person (including any Eligible Employee or Participant) at any time, with or without cause. </w:t>
      </w:r>
    </w:p>
    <w:p>
      <w:pPr>
        <w:pStyle w:val="TextBody"/>
        <w:bidi w:val="0"/>
        <w:spacing w:before="240" w:after="0"/>
        <w:jc w:val="left"/>
        <w:rPr>
          <w:rFonts w:ascii="Times New Roman" w:hAnsi="Times New Roman"/>
          <w:sz w:val="20"/>
        </w:rPr>
      </w:pPr>
      <w:r>
        <w:rPr>
          <w:rFonts w:ascii="Times New Roman" w:hAnsi="Times New Roman"/>
          <w:sz w:val="20"/>
        </w:rPr>
        <w:t xml:space="preserve">12.10. </w:t>
      </w:r>
      <w:r>
        <w:rPr>
          <w:rFonts w:ascii="Times New Roman" w:hAnsi="Times New Roman"/>
          <w:sz w:val="20"/>
          <w:u w:val="single"/>
        </w:rPr>
        <w:t>Conformity to Securities Laws</w:t>
      </w:r>
      <w:r>
        <w:rPr>
          <w:rFonts w:ascii="Times New Roman" w:hAnsi="Times New Roman"/>
          <w:sz w:val="20"/>
        </w:rPr>
        <w:t xml:space="preserve">.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 </w:t>
      </w:r>
    </w:p>
    <w:p>
      <w:pPr>
        <w:pStyle w:val="TextBody"/>
        <w:bidi w:val="0"/>
        <w:spacing w:before="240" w:after="0"/>
        <w:jc w:val="left"/>
        <w:rPr>
          <w:rFonts w:ascii="Times New Roman" w:hAnsi="Times New Roman"/>
          <w:sz w:val="20"/>
        </w:rPr>
      </w:pPr>
      <w:r>
        <w:rPr>
          <w:rFonts w:ascii="Times New Roman" w:hAnsi="Times New Roman"/>
          <w:sz w:val="20"/>
        </w:rPr>
        <w:t xml:space="preserve">12.11 </w:t>
      </w:r>
      <w:r>
        <w:rPr>
          <w:rFonts w:ascii="Times New Roman" w:hAnsi="Times New Roman"/>
          <w:sz w:val="20"/>
          <w:u w:val="single"/>
        </w:rPr>
        <w:t>Sections 409A and 457A</w:t>
      </w:r>
      <w:r>
        <w:rPr>
          <w:rFonts w:ascii="Times New Roman" w:hAnsi="Times New Roman"/>
          <w:sz w:val="20"/>
        </w:rPr>
        <w:t xml:space="preserve">. The Section 423 Component of the Plan and the rights to purchase Shares granted pursuant to Offerings thereunder are intended to be exempt from the application of Section 409A and Section 457A. Neither the Non-Section 423 Component nor any rights to purchase Shares granted pursuant to an Offering thereunder are intended to constitute or provide for nonqualified deferred compensation within the meaning of Section 409A or Section 457A. Notwithstanding any provision of the Plan to the contrary, if the Administrator determines that any right to purchase Shares granted under the Plan may be or become subject to Section 409A or Section 457A or that any provision of the Plan may cause a right to purchase Shares granted under the Plan to be or become subject to Section 409A or Section 457A,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or Section 457A (as applicable), either through compliance with the requirements of Section 409A or Section 457A (as applicable) or with an available exemption therefrom. </w:t>
      </w:r>
    </w:p>
    <w:p>
      <w:pPr>
        <w:pStyle w:val="TextBody"/>
        <w:bidi w:val="0"/>
        <w:spacing w:before="240" w:after="0"/>
        <w:jc w:val="left"/>
        <w:rPr>
          <w:rFonts w:ascii="Times New Roman" w:hAnsi="Times New Roman"/>
          <w:sz w:val="20"/>
        </w:rPr>
      </w:pPr>
      <w:r>
        <w:rPr>
          <w:rFonts w:ascii="Times New Roman" w:hAnsi="Times New Roman"/>
          <w:sz w:val="20"/>
        </w:rPr>
        <w:t xml:space="preserve">12.12 </w:t>
      </w:r>
      <w:r>
        <w:rPr>
          <w:rFonts w:ascii="Times New Roman" w:hAnsi="Times New Roman"/>
          <w:sz w:val="20"/>
          <w:u w:val="single"/>
        </w:rPr>
        <w:t>Notice of Disposition of Shares</w:t>
      </w:r>
      <w:r>
        <w:rPr>
          <w:rFonts w:ascii="Times New Roman" w:hAnsi="Times New Roman"/>
          <w:sz w:val="20"/>
        </w:rPr>
        <w:t xml:space="preserve">. Each Participant shall give prompt notice to the Company of any disposition or other transfer of any Shares purchased upon exercise of a right under the Section 423 Component of this Plan if such disposition or transfer is made: (a) within two years following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 </w:t>
      </w:r>
    </w:p>
    <w:p>
      <w:pPr>
        <w:pStyle w:val="TextBody"/>
        <w:bidi w:val="0"/>
        <w:spacing w:before="240" w:after="0"/>
        <w:jc w:val="left"/>
        <w:rPr>
          <w:rFonts w:ascii="Times New Roman" w:hAnsi="Times New Roman"/>
          <w:sz w:val="20"/>
        </w:rPr>
      </w:pPr>
      <w:r>
        <w:rPr>
          <w:rFonts w:ascii="Times New Roman" w:hAnsi="Times New Roman"/>
          <w:sz w:val="20"/>
        </w:rPr>
        <w:t xml:space="preserve">12.13 </w:t>
      </w:r>
      <w:r>
        <w:rPr>
          <w:rFonts w:ascii="Times New Roman" w:hAnsi="Times New Roman"/>
          <w:sz w:val="20"/>
          <w:u w:val="single"/>
        </w:rPr>
        <w:t>Governing Law</w:t>
      </w:r>
      <w:r>
        <w:rPr>
          <w:rFonts w:ascii="Times New Roman" w:hAnsi="Times New Roman"/>
          <w:sz w:val="20"/>
        </w:rPr>
        <w:t xml:space="preserve">. This Plan and actions taken in connection herewith shall be governed and construed in accordance with the laws of the State of New York, without reference to principles of conflict of laws. </w:t>
      </w:r>
    </w:p>
    <w:p>
      <w:pPr>
        <w:pStyle w:val="TextBody"/>
        <w:bidi w:val="0"/>
        <w:spacing w:before="240" w:after="0"/>
        <w:jc w:val="left"/>
        <w:rPr>
          <w:rFonts w:ascii="Times New Roman" w:hAnsi="Times New Roman"/>
          <w:sz w:val="20"/>
        </w:rPr>
      </w:pPr>
      <w:r>
        <w:rPr>
          <w:rFonts w:ascii="Times New Roman" w:hAnsi="Times New Roman"/>
          <w:sz w:val="20"/>
        </w:rPr>
        <w:t xml:space="preserve">12.14 </w:t>
      </w:r>
      <w:r>
        <w:rPr>
          <w:rFonts w:ascii="Times New Roman" w:hAnsi="Times New Roman"/>
          <w:sz w:val="20"/>
          <w:u w:val="single"/>
        </w:rPr>
        <w:t>Electronic Forms</w:t>
      </w:r>
      <w:r>
        <w:rPr>
          <w:rFonts w:ascii="Times New Roman" w:hAnsi="Times New Roman"/>
          <w:sz w:val="20"/>
        </w:rPr>
        <w:t xml:space="preserve">.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to be a valid election.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001"/>
        <w:gridCol w:w="120"/>
        <w:gridCol w:w="5084"/>
      </w:tblGrid>
      <w:tr>
        <w:trPr/>
        <w:tc>
          <w:tcPr>
            <w:tcW w:w="50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84" w:type="dxa"/>
            <w:tcBorders/>
            <w:vAlign w:val="center"/>
          </w:tcPr>
          <w:p>
            <w:pPr>
              <w:pStyle w:val="TableContents"/>
              <w:bidi w:val="0"/>
              <w:spacing w:before="0" w:after="283"/>
              <w:jc w:val="left"/>
              <w:rPr>
                <w:sz w:val="4"/>
                <w:szCs w:val="4"/>
              </w:rPr>
            </w:pPr>
            <w:r>
              <w:rPr>
                <w:sz w:val="4"/>
                <w:szCs w:val="4"/>
              </w:rPr>
            </w:r>
          </w:p>
        </w:tc>
      </w:tr>
      <w:tr>
        <w:trPr/>
        <w:tc>
          <w:tcPr>
            <w:tcW w:w="5001" w:type="dxa"/>
            <w:tcBorders/>
          </w:tcPr>
          <w:p>
            <w:pPr>
              <w:pStyle w:val="TableContents"/>
              <w:bidi w:val="0"/>
              <w:spacing w:before="0" w:after="0"/>
              <w:jc w:val="left"/>
              <w:rPr/>
            </w:pPr>
            <w:r>
              <w:rPr/>
              <w:drawing>
                <wp:inline distT="0" distB="0" distL="0" distR="0">
                  <wp:extent cx="147637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6375" cy="4286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80" w:after="0"/>
              <w:jc w:val="left"/>
              <w:rPr>
                <w:rFonts w:ascii="Times New Roman" w:hAnsi="Times New Roman"/>
                <w:i/>
                <w:sz w:val="10"/>
              </w:rPr>
            </w:pPr>
            <w:r>
              <w:rPr>
                <w:rFonts w:ascii="Times New Roman" w:hAnsi="Times New Roman"/>
                <w:i/>
                <w:sz w:val="10"/>
              </w:rPr>
              <w:t>KESTRA MEDICAL TECHNOLOGIES, LTD.</w:t>
            </w:r>
          </w:p>
          <w:p>
            <w:pPr>
              <w:pStyle w:val="TableContents"/>
              <w:bidi w:val="0"/>
              <w:spacing w:before="0" w:after="0"/>
              <w:jc w:val="left"/>
              <w:rPr>
                <w:rFonts w:ascii="Times New Roman" w:hAnsi="Times New Roman"/>
                <w:i/>
                <w:sz w:val="10"/>
              </w:rPr>
            </w:pPr>
            <w:r>
              <w:rPr>
                <w:rFonts w:ascii="Times New Roman" w:hAnsi="Times New Roman"/>
                <w:i/>
                <w:sz w:val="10"/>
              </w:rPr>
              <w:t>3933 LAKE WASHINGTON BLVD NE, SUITE 200</w:t>
            </w:r>
          </w:p>
          <w:p>
            <w:pPr>
              <w:pStyle w:val="TableContents"/>
              <w:bidi w:val="0"/>
              <w:spacing w:before="0" w:after="20"/>
              <w:jc w:val="left"/>
              <w:rPr>
                <w:rFonts w:ascii="Times New Roman" w:hAnsi="Times New Roman"/>
                <w:i/>
                <w:sz w:val="10"/>
              </w:rPr>
            </w:pPr>
            <w:r>
              <w:rPr>
                <w:rFonts w:ascii="Times New Roman" w:hAnsi="Times New Roman"/>
                <w:i/>
                <w:sz w:val="10"/>
              </w:rPr>
              <w:t>KIRKLAND, WASHINGTON 98033</w:t>
            </w:r>
          </w:p>
        </w:tc>
        <w:tc>
          <w:tcPr>
            <w:tcW w:w="120" w:type="dxa"/>
            <w:tcBorders/>
            <w:vAlign w:val="bottom"/>
          </w:tcPr>
          <w:p>
            <w:pPr>
              <w:pStyle w:val="TableContents"/>
              <w:bidi w:val="0"/>
              <w:spacing w:before="0" w:after="283"/>
              <w:jc w:val="left"/>
              <w:rPr/>
            </w:pPr>
            <w:r>
              <w:rPr/>
              <w:t>  </w:t>
            </w:r>
          </w:p>
        </w:tc>
        <w:tc>
          <w:tcPr>
            <w:tcW w:w="5084" w:type="dxa"/>
            <w:tcBorders/>
          </w:tcPr>
          <w:p>
            <w:pPr>
              <w:pStyle w:val="TableContents"/>
              <w:bidi w:val="0"/>
              <w:spacing w:before="0" w:after="0"/>
              <w:jc w:val="left"/>
              <w:rPr/>
            </w:pPr>
            <w:r>
              <w:rPr/>
              <w:t xml:space="preserve">  </w:t>
            </w:r>
            <w:r>
              <w:rPr/>
              <w:drawing>
                <wp:inline distT="0" distB="0" distL="0" distR="0">
                  <wp:extent cx="2143125"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43125" cy="5143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80" w:after="0"/>
              <w:jc w:val="left"/>
              <w:rPr>
                <w:rFonts w:ascii="Times New Roman" w:hAnsi="Times New Roman"/>
                <w:b/>
                <w:sz w:val="13"/>
              </w:rPr>
            </w:pPr>
            <w:r>
              <w:rPr>
                <w:rFonts w:ascii="Times New Roman" w:hAnsi="Times New Roman"/>
                <w:b/>
                <w:sz w:val="13"/>
              </w:rPr>
              <w:t>VOTE BY INTERNET</w:t>
            </w:r>
          </w:p>
          <w:p>
            <w:pPr>
              <w:pStyle w:val="TableContents"/>
              <w:bidi w:val="0"/>
              <w:spacing w:before="0" w:after="0"/>
              <w:jc w:val="left"/>
              <w:rPr>
                <w:rFonts w:ascii="Times New Roman" w:hAnsi="Times New Roman"/>
                <w:sz w:val="13"/>
              </w:rPr>
            </w:pPr>
            <w:r>
              <w:rPr>
                <w:rFonts w:ascii="Times New Roman" w:hAnsi="Times New Roman"/>
                <w:i/>
                <w:sz w:val="13"/>
              </w:rPr>
              <w:t xml:space="preserve">Before The Meeting </w:t>
            </w:r>
            <w:r>
              <w:rPr>
                <w:rFonts w:ascii="Times New Roman" w:hAnsi="Times New Roman"/>
                <w:sz w:val="13"/>
              </w:rPr>
              <w:t xml:space="preserve">- Go to </w:t>
            </w:r>
            <w:r>
              <w:rPr>
                <w:rFonts w:ascii="Times New Roman" w:hAnsi="Times New Roman"/>
                <w:b/>
                <w:sz w:val="13"/>
                <w:u w:val="single"/>
              </w:rPr>
              <w:t>www.proxyvote.com</w:t>
            </w:r>
            <w:r>
              <w:rPr>
                <w:rFonts w:ascii="Times New Roman" w:hAnsi="Times New Roman"/>
                <w:b/>
                <w:sz w:val="13"/>
              </w:rPr>
              <w:t xml:space="preserve"> or scan the QR Barcode above</w:t>
            </w:r>
          </w:p>
          <w:p>
            <w:pPr>
              <w:pStyle w:val="TableContents"/>
              <w:bidi w:val="0"/>
              <w:spacing w:before="0" w:after="0"/>
              <w:jc w:val="left"/>
              <w:rPr/>
            </w:pPr>
            <w:r>
              <w:rPr/>
              <w:t> </w:t>
            </w:r>
          </w:p>
          <w:p>
            <w:pPr>
              <w:pStyle w:val="TableContents"/>
              <w:bidi w:val="0"/>
              <w:spacing w:before="40" w:after="20"/>
              <w:jc w:val="left"/>
              <w:rPr>
                <w:rFonts w:ascii="Times New Roman" w:hAnsi="Times New Roman"/>
                <w:sz w:val="13"/>
              </w:rPr>
            </w:pPr>
            <w:r>
              <w:rPr>
                <w:rFonts w:ascii="Times New Roman" w:hAnsi="Times New Roman"/>
                <w:sz w:val="13"/>
              </w:rPr>
              <w:t>Use the Internet to transmit your voting instructions and for electronic delivery of information up until 11:59 p.m. Eastern Time on September 2, 2025. Have your proxy card in hand when you access the web site and follow the instructions to obtain your records and to create an electronic voting instruction form.</w:t>
            </w:r>
          </w:p>
        </w:tc>
      </w:tr>
      <w:tr>
        <w:trPr>
          <w:trHeight w:val="75" w:hRule="atLeast"/>
        </w:trPr>
        <w:tc>
          <w:tcPr>
            <w:tcW w:w="5001" w:type="dxa"/>
            <w:tcBorders/>
            <w:vAlign w:val="center"/>
          </w:tcPr>
          <w:p>
            <w:pPr>
              <w:pStyle w:val="TableContents"/>
              <w:bidi w:val="0"/>
              <w:spacing w:before="0" w:after="283"/>
              <w:jc w:val="left"/>
              <w:rPr>
                <w:sz w:val="4"/>
                <w:szCs w:val="4"/>
              </w:rPr>
            </w:pPr>
            <w:r>
              <w:rPr>
                <w:sz w:val="4"/>
                <w:szCs w:val="4"/>
              </w:rPr>
            </w:r>
          </w:p>
        </w:tc>
        <w:tc>
          <w:tcPr>
            <w:tcW w:w="5204" w:type="dxa"/>
            <w:gridSpan w:val="2"/>
            <w:tcBorders/>
            <w:vAlign w:val="center"/>
          </w:tcPr>
          <w:p>
            <w:pPr>
              <w:pStyle w:val="TableContents"/>
              <w:bidi w:val="0"/>
              <w:spacing w:before="0" w:after="283"/>
              <w:jc w:val="left"/>
              <w:rPr>
                <w:sz w:val="4"/>
                <w:szCs w:val="4"/>
              </w:rPr>
            </w:pPr>
            <w:r>
              <w:rPr>
                <w:sz w:val="4"/>
                <w:szCs w:val="4"/>
              </w:rPr>
            </w:r>
          </w:p>
        </w:tc>
      </w:tr>
      <w:tr>
        <w:trPr/>
        <w:tc>
          <w:tcPr>
            <w:tcW w:w="500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84" w:type="dxa"/>
            <w:tcBorders/>
          </w:tcPr>
          <w:p>
            <w:pPr>
              <w:pStyle w:val="TableContents"/>
              <w:bidi w:val="0"/>
              <w:spacing w:before="0" w:after="0"/>
              <w:jc w:val="left"/>
              <w:rPr>
                <w:rFonts w:ascii="Times New Roman" w:hAnsi="Times New Roman"/>
                <w:sz w:val="13"/>
              </w:rPr>
            </w:pPr>
            <w:r>
              <w:rPr>
                <w:rFonts w:ascii="Times New Roman" w:hAnsi="Times New Roman"/>
                <w:i/>
                <w:sz w:val="13"/>
              </w:rPr>
              <w:t xml:space="preserve">During The Meeting </w:t>
            </w:r>
            <w:r>
              <w:rPr>
                <w:rFonts w:ascii="Times New Roman" w:hAnsi="Times New Roman"/>
                <w:sz w:val="13"/>
              </w:rPr>
              <w:t xml:space="preserve">- Go to </w:t>
            </w:r>
            <w:r>
              <w:rPr>
                <w:rFonts w:ascii="Times New Roman" w:hAnsi="Times New Roman"/>
                <w:b/>
                <w:sz w:val="13"/>
                <w:u w:val="single"/>
              </w:rPr>
              <w:t>www.virtualshareholdermeeting.com/KMTS2025</w:t>
            </w:r>
          </w:p>
          <w:p>
            <w:pPr>
              <w:pStyle w:val="TableContents"/>
              <w:bidi w:val="0"/>
              <w:spacing w:before="0" w:after="0"/>
              <w:jc w:val="left"/>
              <w:rPr/>
            </w:pPr>
            <w:r>
              <w:rPr/>
              <w:t> </w:t>
            </w:r>
          </w:p>
          <w:p>
            <w:pPr>
              <w:pStyle w:val="TableContents"/>
              <w:bidi w:val="0"/>
              <w:spacing w:before="60" w:after="20"/>
              <w:jc w:val="left"/>
              <w:rPr>
                <w:rFonts w:ascii="Times New Roman" w:hAnsi="Times New Roman"/>
                <w:sz w:val="13"/>
              </w:rPr>
            </w:pPr>
            <w:r>
              <w:rPr>
                <w:rFonts w:ascii="Times New Roman" w:hAnsi="Times New Roman"/>
                <w:sz w:val="13"/>
              </w:rPr>
              <w:t>You may attend the meeting via the Internet and vote during the meeting. Have the information that is printed in the box marked by the arrow available and follow the instructions.</w:t>
            </w:r>
          </w:p>
        </w:tc>
      </w:tr>
      <w:tr>
        <w:trPr>
          <w:trHeight w:val="75" w:hRule="atLeast"/>
        </w:trPr>
        <w:tc>
          <w:tcPr>
            <w:tcW w:w="5001" w:type="dxa"/>
            <w:tcBorders/>
            <w:vAlign w:val="center"/>
          </w:tcPr>
          <w:p>
            <w:pPr>
              <w:pStyle w:val="TableContents"/>
              <w:bidi w:val="0"/>
              <w:spacing w:before="0" w:after="283"/>
              <w:jc w:val="left"/>
              <w:rPr>
                <w:sz w:val="4"/>
                <w:szCs w:val="4"/>
              </w:rPr>
            </w:pPr>
            <w:r>
              <w:rPr>
                <w:sz w:val="4"/>
                <w:szCs w:val="4"/>
              </w:rPr>
            </w:r>
          </w:p>
        </w:tc>
        <w:tc>
          <w:tcPr>
            <w:tcW w:w="5204" w:type="dxa"/>
            <w:gridSpan w:val="2"/>
            <w:tcBorders/>
            <w:vAlign w:val="center"/>
          </w:tcPr>
          <w:p>
            <w:pPr>
              <w:pStyle w:val="TableContents"/>
              <w:bidi w:val="0"/>
              <w:spacing w:before="0" w:after="283"/>
              <w:jc w:val="left"/>
              <w:rPr>
                <w:sz w:val="4"/>
                <w:szCs w:val="4"/>
              </w:rPr>
            </w:pPr>
            <w:r>
              <w:rPr>
                <w:sz w:val="4"/>
                <w:szCs w:val="4"/>
              </w:rPr>
            </w:r>
          </w:p>
        </w:tc>
      </w:tr>
      <w:tr>
        <w:trPr/>
        <w:tc>
          <w:tcPr>
            <w:tcW w:w="500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84" w:type="dxa"/>
            <w:tcBorders/>
          </w:tcPr>
          <w:p>
            <w:pPr>
              <w:pStyle w:val="TableContents"/>
              <w:bidi w:val="0"/>
              <w:spacing w:before="0" w:after="0"/>
              <w:jc w:val="left"/>
              <w:rPr>
                <w:rFonts w:ascii="Times New Roman" w:hAnsi="Times New Roman"/>
                <w:b/>
                <w:sz w:val="13"/>
              </w:rPr>
            </w:pPr>
            <w:r>
              <w:rPr>
                <w:rFonts w:ascii="Times New Roman" w:hAnsi="Times New Roman"/>
                <w:b/>
                <w:sz w:val="13"/>
              </w:rPr>
              <w:t>VOTE BY PHONE - 1-800-690-6903</w:t>
            </w:r>
          </w:p>
          <w:p>
            <w:pPr>
              <w:pStyle w:val="TableContents"/>
              <w:bidi w:val="0"/>
              <w:spacing w:before="0" w:after="20"/>
              <w:jc w:val="left"/>
              <w:rPr>
                <w:rFonts w:ascii="Times New Roman" w:hAnsi="Times New Roman"/>
                <w:sz w:val="13"/>
              </w:rPr>
            </w:pPr>
            <w:r>
              <w:rPr>
                <w:rFonts w:ascii="Times New Roman" w:hAnsi="Times New Roman"/>
                <w:sz w:val="13"/>
              </w:rPr>
              <w:t>Use any touch-tone telephone to transmit your voting instructions up until 11:59 p.m. Eastern Time on September 2, 2025. Have your proxy card in hand when you call and then follow the instructions.</w:t>
            </w:r>
          </w:p>
        </w:tc>
      </w:tr>
      <w:tr>
        <w:trPr>
          <w:trHeight w:val="75" w:hRule="atLeast"/>
        </w:trPr>
        <w:tc>
          <w:tcPr>
            <w:tcW w:w="5001" w:type="dxa"/>
            <w:tcBorders/>
            <w:vAlign w:val="center"/>
          </w:tcPr>
          <w:p>
            <w:pPr>
              <w:pStyle w:val="TableContents"/>
              <w:bidi w:val="0"/>
              <w:spacing w:before="0" w:after="283"/>
              <w:jc w:val="left"/>
              <w:rPr>
                <w:sz w:val="4"/>
                <w:szCs w:val="4"/>
              </w:rPr>
            </w:pPr>
            <w:r>
              <w:rPr>
                <w:sz w:val="4"/>
                <w:szCs w:val="4"/>
              </w:rPr>
            </w:r>
          </w:p>
        </w:tc>
        <w:tc>
          <w:tcPr>
            <w:tcW w:w="5204" w:type="dxa"/>
            <w:gridSpan w:val="2"/>
            <w:tcBorders/>
            <w:vAlign w:val="center"/>
          </w:tcPr>
          <w:p>
            <w:pPr>
              <w:pStyle w:val="TableContents"/>
              <w:bidi w:val="0"/>
              <w:spacing w:before="0" w:after="283"/>
              <w:jc w:val="left"/>
              <w:rPr>
                <w:sz w:val="4"/>
                <w:szCs w:val="4"/>
              </w:rPr>
            </w:pPr>
            <w:r>
              <w:rPr>
                <w:sz w:val="4"/>
                <w:szCs w:val="4"/>
              </w:rPr>
            </w:r>
          </w:p>
        </w:tc>
      </w:tr>
      <w:tr>
        <w:trPr/>
        <w:tc>
          <w:tcPr>
            <w:tcW w:w="500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84" w:type="dxa"/>
            <w:tcBorders/>
          </w:tcPr>
          <w:p>
            <w:pPr>
              <w:pStyle w:val="TableContents"/>
              <w:bidi w:val="0"/>
              <w:spacing w:before="0" w:after="283"/>
              <w:jc w:val="left"/>
              <w:rPr>
                <w:b/>
              </w:rPr>
            </w:pPr>
            <w:r>
              <w:rPr>
                <w:b/>
              </w:rPr>
              <w:t>VOTE BY MAIL</w:t>
            </w:r>
          </w:p>
        </w:tc>
      </w:tr>
      <w:tr>
        <w:trPr/>
        <w:tc>
          <w:tcPr>
            <w:tcW w:w="500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84" w:type="dxa"/>
            <w:tcBorders/>
          </w:tcPr>
          <w:p>
            <w:pPr>
              <w:pStyle w:val="TableContents"/>
              <w:bidi w:val="0"/>
              <w:spacing w:before="0" w:after="283"/>
              <w:jc w:val="left"/>
              <w:rPr/>
            </w:pPr>
            <w:r>
              <w:rPr/>
              <w:t>Mark, sign and date your proxy card and return it in the postage-paid envelope we have provided or return it to Vote Processing, c/o Broadridge, 51 Mercedes Way, Edgewood, NY 11717.</w:t>
            </w:r>
          </w:p>
        </w:tc>
      </w:tr>
    </w:tbl>
    <w:p>
      <w:pPr>
        <w:pStyle w:val="TextBody"/>
        <w:bidi w:val="0"/>
        <w:spacing w:before="0" w:after="0"/>
        <w:jc w:val="left"/>
        <w:rPr/>
      </w:pPr>
      <w:r>
        <w:rPr/>
        <w:t> </w:t>
      </w:r>
    </w:p>
    <w:p>
      <w:pPr>
        <w:pStyle w:val="TextBody"/>
        <w:bidi w:val="0"/>
        <w:spacing w:before="2000" w:after="0"/>
        <w:jc w:val="left"/>
        <w:rPr>
          <w:rFonts w:ascii="Times New Roman" w:hAnsi="Times New Roman"/>
          <w:sz w:val="14"/>
        </w:rPr>
      </w:pPr>
      <w:r>
        <w:rPr>
          <w:rFonts w:ascii="Times New Roman" w:hAnsi="Times New Roman"/>
          <w:sz w:val="14"/>
        </w:rPr>
        <w:t xml:space="preserve">TO VOTE, MARK BLOCKS BELOW IN BLUE OR BLACK INK AS FOLLOWS: </w:t>
      </w:r>
    </w:p>
    <w:p>
      <w:pPr>
        <w:pStyle w:val="TextBody"/>
        <w:bidi w:val="0"/>
        <w:spacing w:before="240" w:after="0"/>
        <w:jc w:val="right"/>
        <w:rPr>
          <w:rFonts w:ascii="Times New Roman" w:hAnsi="Times New Roman"/>
          <w:sz w:val="14"/>
        </w:rPr>
      </w:pPr>
      <w:r>
        <w:rPr>
          <w:rFonts w:ascii="Times New Roman" w:hAnsi="Times New Roman"/>
          <w:sz w:val="14"/>
        </w:rPr>
        <w:t xml:space="preserve">V77063-P35991       KEEP THIS PORTION FOR YOUR RECORDS </w:t>
      </w:r>
    </w:p>
    <w:p>
      <w:pPr>
        <w:pStyle w:val="TextBody"/>
        <w:bidi w:val="0"/>
        <w:spacing w:before="0" w:after="0"/>
        <w:jc w:val="left"/>
        <w:rPr>
          <w:rFonts w:ascii="Times New Roman" w:hAnsi="Times New Roman"/>
          <w:sz w:val="20"/>
        </w:rPr>
      </w:pPr>
      <w:r>
        <w:rPr>
          <w:rFonts w:ascii="Times New Roman" w:hAnsi="Times New Roman"/>
          <w:sz w:val="20"/>
        </w:rPr>
        <w:t xml:space="preserve">                                                   </w:t>
      </w:r>
    </w:p>
    <w:p>
      <w:pPr>
        <w:pStyle w:val="TextBody"/>
        <w:bidi w:val="0"/>
        <w:spacing w:before="0" w:after="0"/>
        <w:jc w:val="right"/>
        <w:rPr>
          <w:rFonts w:ascii="Times New Roman" w:hAnsi="Times New Roman"/>
          <w:sz w:val="14"/>
        </w:rPr>
      </w:pPr>
      <w:r>
        <w:rPr>
          <w:rFonts w:ascii="Times New Roman" w:hAnsi="Times New Roman"/>
          <w:sz w:val="14"/>
        </w:rPr>
        <w:t xml:space="preserve">DETACH AND RETURN THIS PORTION ONLY </w:t>
      </w:r>
    </w:p>
    <w:p>
      <w:pPr>
        <w:pStyle w:val="TextBody"/>
        <w:bidi w:val="0"/>
        <w:spacing w:before="0" w:after="0"/>
        <w:jc w:val="center"/>
        <w:rPr>
          <w:rFonts w:ascii="Times New Roman" w:hAnsi="Times New Roman"/>
          <w:b/>
          <w:sz w:val="16"/>
        </w:rPr>
      </w:pPr>
      <w:r>
        <w:rPr>
          <w:rFonts w:ascii="Times New Roman" w:hAnsi="Times New Roman"/>
          <w:b/>
          <w:sz w:val="16"/>
        </w:rPr>
        <w:t xml:space="preserve">THIS PROXY CARD IS VALID ONLY WHEN SIGNED AND DATED.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
        <w:gridCol w:w="100"/>
        <w:gridCol w:w="271"/>
        <w:gridCol w:w="100"/>
        <w:gridCol w:w="2629"/>
        <w:gridCol w:w="100"/>
        <w:gridCol w:w="513"/>
        <w:gridCol w:w="100"/>
        <w:gridCol w:w="808"/>
        <w:gridCol w:w="100"/>
        <w:gridCol w:w="819"/>
        <w:gridCol w:w="100"/>
        <w:gridCol w:w="1824"/>
        <w:gridCol w:w="143"/>
        <w:gridCol w:w="400"/>
        <w:gridCol w:w="100"/>
        <w:gridCol w:w="808"/>
        <w:gridCol w:w="99"/>
        <w:gridCol w:w="819"/>
        <w:gridCol w:w="100"/>
        <w:gridCol w:w="170"/>
      </w:tblGrid>
      <w:tr>
        <w:trPr/>
        <w:tc>
          <w:tcPr>
            <w:tcW w:w="102"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7566" w:type="dxa"/>
            <w:gridSpan w:val="13"/>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c>
          <w:tcPr>
            <w:tcW w:w="270" w:type="dxa"/>
            <w:gridSpan w:val="2"/>
            <w:tcBorders/>
            <w:vAlign w:val="center"/>
          </w:tcPr>
          <w:p>
            <w:pPr>
              <w:pStyle w:val="TableContents"/>
              <w:bidi w:val="0"/>
              <w:spacing w:before="0" w:after="283"/>
              <w:jc w:val="left"/>
              <w:rPr>
                <w:sz w:val="4"/>
                <w:szCs w:val="4"/>
              </w:rPr>
            </w:pPr>
            <w:r>
              <w:rPr>
                <w:sz w:val="4"/>
                <w:szCs w:val="4"/>
              </w:rPr>
            </w:r>
          </w:p>
        </w:tc>
      </w:tr>
      <w:tr>
        <w:trPr/>
        <w:tc>
          <w:tcPr>
            <w:tcW w:w="7566" w:type="dxa"/>
            <w:gridSpan w:val="13"/>
            <w:tcBorders/>
          </w:tcPr>
          <w:p>
            <w:pPr>
              <w:pStyle w:val="TableContents"/>
              <w:bidi w:val="0"/>
              <w:spacing w:before="0" w:after="283"/>
              <w:jc w:val="left"/>
              <w:rPr/>
            </w:pPr>
            <w:r>
              <w:rPr/>
              <w:t> </w:t>
            </w:r>
            <w:r>
              <w:rPr>
                <w:b/>
              </w:rPr>
              <w:t>KESTRA MEDICAL TECHNOLOGIES, LTD.</w:t>
            </w:r>
          </w:p>
        </w:tc>
        <w:tc>
          <w:tcPr>
            <w:tcW w:w="14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left"/>
              <w:rPr>
                <w:sz w:val="4"/>
                <w:szCs w:val="4"/>
              </w:rPr>
            </w:pPr>
            <w:r>
              <w:rPr>
                <w:sz w:val="4"/>
                <w:szCs w:val="4"/>
              </w:rPr>
            </w:r>
          </w:p>
        </w:tc>
      </w:tr>
      <w:tr>
        <w:trPr>
          <w:trHeight w:val="75" w:hRule="atLeast"/>
        </w:trPr>
        <w:tc>
          <w:tcPr>
            <w:tcW w:w="102" w:type="dxa"/>
            <w:tcBorders/>
            <w:vAlign w:val="center"/>
          </w:tcPr>
          <w:p>
            <w:pPr>
              <w:pStyle w:val="TableContents"/>
              <w:bidi w:val="0"/>
              <w:spacing w:before="0" w:after="283"/>
              <w:jc w:val="left"/>
              <w:rPr>
                <w:sz w:val="4"/>
                <w:szCs w:val="4"/>
              </w:rPr>
            </w:pPr>
            <w:r>
              <w:rPr>
                <w:sz w:val="4"/>
                <w:szCs w:val="4"/>
              </w:rPr>
            </w:r>
          </w:p>
        </w:tc>
        <w:tc>
          <w:tcPr>
            <w:tcW w:w="3100" w:type="dxa"/>
            <w:gridSpan w:val="4"/>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top w:val="single" w:sz="12" w:space="0" w:color="000000"/>
              <w:right w:val="single" w:sz="12" w:space="0" w:color="000000"/>
            </w:tcBorders>
            <w:tcMar>
              <w:top w:w="28" w:type="dxa"/>
              <w:right w:w="28" w:type="dxa"/>
            </w:tcMar>
            <w:vAlign w:val="center"/>
          </w:tcPr>
          <w:p>
            <w:pPr>
              <w:pStyle w:val="TableContents"/>
              <w:bidi w:val="0"/>
              <w:spacing w:before="0" w:after="283"/>
              <w:jc w:val="left"/>
              <w:rPr/>
            </w:pPr>
            <w:r>
              <w:rPr/>
              <w:t> </w:t>
            </w:r>
          </w:p>
        </w:tc>
        <w:tc>
          <w:tcPr>
            <w:tcW w:w="270" w:type="dxa"/>
            <w:gridSpan w:val="2"/>
            <w:tcBorders/>
            <w:vAlign w:val="center"/>
          </w:tcPr>
          <w:p>
            <w:pPr>
              <w:pStyle w:val="TableContents"/>
              <w:bidi w:val="0"/>
              <w:spacing w:before="0" w:after="283"/>
              <w:jc w:val="left"/>
              <w:rPr>
                <w:sz w:val="4"/>
                <w:szCs w:val="4"/>
              </w:rPr>
            </w:pPr>
            <w:r>
              <w:rPr>
                <w:sz w:val="4"/>
                <w:szCs w:val="4"/>
              </w:rPr>
            </w:r>
          </w:p>
        </w:tc>
      </w:tr>
      <w:tr>
        <w:trPr/>
        <w:tc>
          <w:tcPr>
            <w:tcW w:w="102" w:type="dxa"/>
            <w:tcBorders/>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3000" w:type="dxa"/>
            <w:gridSpan w:val="3"/>
            <w:tcBorders/>
          </w:tcPr>
          <w:p>
            <w:pPr>
              <w:pStyle w:val="TableContents"/>
              <w:bidi w:val="0"/>
              <w:spacing w:before="0" w:after="283"/>
              <w:jc w:val="left"/>
              <w:rPr>
                <w:b/>
              </w:rPr>
            </w:pPr>
            <w:r>
              <w:rPr>
                <w:b/>
              </w:rPr>
              <w:t>The Board of Directors recommends you vote FOR proposals 1, 2 and 3:</w:t>
            </w:r>
          </w:p>
        </w:tc>
        <w:tc>
          <w:tcPr>
            <w:tcW w:w="100" w:type="dxa"/>
            <w:tcBorders/>
            <w:vAlign w:val="bottom"/>
          </w:tcPr>
          <w:p>
            <w:pPr>
              <w:pStyle w:val="TableContents"/>
              <w:bidi w:val="0"/>
              <w:spacing w:before="0" w:after="283"/>
              <w:jc w:val="left"/>
              <w:rPr/>
            </w:pPr>
            <w:r>
              <w:rPr/>
              <w:t> </w:t>
            </w:r>
          </w:p>
        </w:tc>
        <w:tc>
          <w:tcPr>
            <w:tcW w:w="51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819" w:type="dxa"/>
            <w:tcBorders>
              <w:right w:val="single" w:sz="12" w:space="0" w:color="000000"/>
            </w:tcBorders>
            <w:tcMar>
              <w:right w:w="28" w:type="dxa"/>
            </w:tcMa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left"/>
              <w:rPr>
                <w:sz w:val="4"/>
                <w:szCs w:val="4"/>
              </w:rPr>
            </w:pPr>
            <w:r>
              <w:rPr>
                <w:sz w:val="4"/>
                <w:szCs w:val="4"/>
              </w:rPr>
            </w:r>
          </w:p>
        </w:tc>
      </w:tr>
      <w:tr>
        <w:trPr>
          <w:trHeight w:val="75" w:hRule="atLeast"/>
        </w:trPr>
        <w:tc>
          <w:tcPr>
            <w:tcW w:w="10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2729"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right w:val="single" w:sz="12" w:space="0" w:color="000000"/>
            </w:tcBorders>
            <w:tcMar>
              <w:right w:w="28" w:type="dxa"/>
            </w:tcMar>
            <w:vAlign w:val="center"/>
          </w:tcPr>
          <w:p>
            <w:pPr>
              <w:pStyle w:val="TableContents"/>
              <w:bidi w:val="0"/>
              <w:spacing w:before="0" w:after="283"/>
              <w:jc w:val="left"/>
              <w:rPr/>
            </w:pPr>
            <w:r>
              <w:rPr/>
              <w:t> </w:t>
            </w:r>
          </w:p>
        </w:tc>
        <w:tc>
          <w:tcPr>
            <w:tcW w:w="270" w:type="dxa"/>
            <w:gridSpan w:val="2"/>
            <w:tcBorders/>
            <w:vAlign w:val="center"/>
          </w:tcPr>
          <w:p>
            <w:pPr>
              <w:pStyle w:val="TableContents"/>
              <w:bidi w:val="0"/>
              <w:spacing w:before="0" w:after="283"/>
              <w:jc w:val="left"/>
              <w:rPr>
                <w:sz w:val="4"/>
                <w:szCs w:val="4"/>
              </w:rPr>
            </w:pPr>
            <w:r>
              <w:rPr>
                <w:sz w:val="4"/>
                <w:szCs w:val="4"/>
              </w:rPr>
            </w:r>
          </w:p>
        </w:tc>
      </w:tr>
      <w:tr>
        <w:trPr/>
        <w:tc>
          <w:tcPr>
            <w:tcW w:w="1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1.</w:t>
            </w:r>
          </w:p>
        </w:tc>
        <w:tc>
          <w:tcPr>
            <w:tcW w:w="100" w:type="dxa"/>
            <w:vMerge w:val="restart"/>
            <w:tcBorders/>
            <w:vAlign w:val="bottom"/>
          </w:tcPr>
          <w:p>
            <w:pPr>
              <w:pStyle w:val="TableContents"/>
              <w:bidi w:val="0"/>
              <w:spacing w:before="0" w:after="283"/>
              <w:jc w:val="left"/>
              <w:rPr/>
            </w:pPr>
            <w:r>
              <w:rPr/>
              <w:t> </w:t>
            </w:r>
          </w:p>
        </w:tc>
        <w:tc>
          <w:tcPr>
            <w:tcW w:w="2629" w:type="dxa"/>
            <w:vMerge w:val="restart"/>
            <w:tcBorders/>
          </w:tcPr>
          <w:p>
            <w:pPr>
              <w:pStyle w:val="TableContents"/>
              <w:bidi w:val="0"/>
              <w:spacing w:before="0" w:after="283"/>
              <w:jc w:val="left"/>
              <w:rPr/>
            </w:pPr>
            <w:r>
              <w:rPr/>
              <w:t>The election of Conor Hanley and Elizabeth Kwo to serve as Class I directors until the Company's 2028 annual meeting of shareholders and until their successors are duly elected and qualified.</w:t>
            </w:r>
          </w:p>
        </w:tc>
        <w:tc>
          <w:tcPr>
            <w:tcW w:w="100" w:type="dxa"/>
            <w:tcBorders/>
            <w:vAlign w:val="bottom"/>
          </w:tcPr>
          <w:p>
            <w:pPr>
              <w:pStyle w:val="TableContents"/>
              <w:bidi w:val="0"/>
              <w:spacing w:before="0" w:after="283"/>
              <w:jc w:val="left"/>
              <w:rPr/>
            </w:pPr>
            <w:r>
              <w:rPr/>
              <w:t> </w:t>
            </w:r>
          </w:p>
        </w:tc>
        <w:tc>
          <w:tcPr>
            <w:tcW w:w="51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819" w:type="dxa"/>
            <w:tcBorders>
              <w:right w:val="single" w:sz="12" w:space="0" w:color="000000"/>
            </w:tcBorders>
            <w:tcMar>
              <w:right w:w="28" w:type="dxa"/>
            </w:tcMa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left"/>
              <w:rPr>
                <w:sz w:val="4"/>
                <w:szCs w:val="4"/>
              </w:rPr>
            </w:pPr>
            <w:r>
              <w:rPr>
                <w:sz w:val="4"/>
                <w:szCs w:val="4"/>
              </w:rPr>
            </w:r>
          </w:p>
        </w:tc>
      </w:tr>
      <w:tr>
        <w:trPr/>
        <w:tc>
          <w:tcPr>
            <w:tcW w:w="1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71" w:type="dxa"/>
            <w:tcBorders/>
          </w:tcPr>
          <w:p>
            <w:pPr>
              <w:pStyle w:val="TableContents"/>
              <w:bidi w:val="0"/>
              <w:spacing w:before="0" w:after="283"/>
              <w:jc w:val="left"/>
              <w:rPr>
                <w:sz w:val="4"/>
                <w:szCs w:val="4"/>
              </w:rPr>
            </w:pPr>
            <w:r>
              <w:rPr>
                <w:sz w:val="4"/>
                <w:szCs w:val="4"/>
              </w:rPr>
            </w:r>
          </w:p>
        </w:tc>
        <w:tc>
          <w:tcPr>
            <w:tcW w:w="100" w:type="dxa"/>
            <w:vMerge w:val="continue"/>
            <w:tcBorders/>
            <w:vAlign w:val="bottom"/>
          </w:tcPr>
          <w:p>
            <w:pPr>
              <w:pStyle w:val="Normal"/>
              <w:bidi w:val="0"/>
              <w:jc w:val="left"/>
              <w:rPr/>
            </w:pPr>
            <w:r>
              <w:rPr/>
            </w:r>
          </w:p>
        </w:tc>
        <w:tc>
          <w:tcPr>
            <w:tcW w:w="2629" w:type="dxa"/>
            <w:vMerge w:val="continue"/>
            <w:tcBorders/>
          </w:tcPr>
          <w:p>
            <w:pPr>
              <w:pStyle w:val="Normal"/>
              <w:bidi w:val="0"/>
              <w:jc w:val="left"/>
              <w:rPr/>
            </w:pPr>
            <w:r>
              <w:rPr/>
            </w:r>
          </w:p>
        </w:tc>
        <w:tc>
          <w:tcPr>
            <w:tcW w:w="100"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center"/>
              <w:rPr>
                <w:b/>
              </w:rPr>
            </w:pPr>
            <w:r>
              <w:rPr>
                <w:b/>
              </w:rPr>
              <w:t>For</w:t>
            </w:r>
          </w:p>
        </w:tc>
        <w:tc>
          <w:tcPr>
            <w:tcW w:w="10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center"/>
              <w:rPr>
                <w:b/>
              </w:rPr>
            </w:pPr>
            <w:r>
              <w:rPr>
                <w:b/>
              </w:rPr>
              <w:t>Against</w:t>
            </w:r>
          </w:p>
        </w:tc>
        <w:tc>
          <w:tcPr>
            <w:tcW w:w="10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center"/>
              <w:rPr>
                <w:b/>
              </w:rPr>
            </w:pPr>
            <w:r>
              <w:rPr>
                <w:b/>
              </w:rPr>
              <w:t>Abstain</w:t>
            </w:r>
          </w:p>
        </w:tc>
        <w:tc>
          <w:tcPr>
            <w:tcW w:w="10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left"/>
              <w:rPr>
                <w:sz w:val="4"/>
                <w:szCs w:val="4"/>
              </w:rPr>
            </w:pPr>
            <w:r>
              <w:rPr>
                <w:sz w:val="4"/>
                <w:szCs w:val="4"/>
              </w:rPr>
            </w:r>
          </w:p>
        </w:tc>
      </w:tr>
      <w:tr>
        <w:trPr>
          <w:trHeight w:val="120" w:hRule="atLeast"/>
        </w:trPr>
        <w:tc>
          <w:tcPr>
            <w:tcW w:w="10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2729"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c>
          <w:tcPr>
            <w:tcW w:w="270" w:type="dxa"/>
            <w:gridSpan w:val="2"/>
            <w:tcBorders/>
            <w:vAlign w:val="center"/>
          </w:tcPr>
          <w:p>
            <w:pPr>
              <w:pStyle w:val="TableContents"/>
              <w:bidi w:val="0"/>
              <w:spacing w:before="0" w:after="283"/>
              <w:jc w:val="left"/>
              <w:rPr>
                <w:sz w:val="4"/>
                <w:szCs w:val="4"/>
              </w:rPr>
            </w:pPr>
            <w:r>
              <w:rPr>
                <w:sz w:val="4"/>
                <w:szCs w:val="4"/>
              </w:rPr>
            </w:r>
          </w:p>
        </w:tc>
      </w:tr>
      <w:tr>
        <w:trPr/>
        <w:tc>
          <w:tcPr>
            <w:tcW w:w="1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71"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629" w:type="dxa"/>
            <w:tcBorders/>
          </w:tcPr>
          <w:p>
            <w:pPr>
              <w:pStyle w:val="TableContents"/>
              <w:bidi w:val="0"/>
              <w:spacing w:before="0" w:after="0"/>
              <w:jc w:val="left"/>
              <w:rPr>
                <w:rFonts w:ascii="Times New Roman" w:hAnsi="Times New Roman"/>
                <w:sz w:val="14"/>
              </w:rPr>
            </w:pPr>
            <w:r>
              <w:rPr>
                <w:rFonts w:ascii="Times New Roman" w:hAnsi="Times New Roman"/>
                <w:sz w:val="14"/>
              </w:rPr>
              <w:t>1a.   Conor Hanley</w:t>
            </w:r>
          </w:p>
        </w:tc>
        <w:tc>
          <w:tcPr>
            <w:tcW w:w="100" w:type="dxa"/>
            <w:tcBorders/>
            <w:vAlign w:val="bottom"/>
          </w:tcPr>
          <w:p>
            <w:pPr>
              <w:pStyle w:val="TableContents"/>
              <w:bidi w:val="0"/>
              <w:spacing w:before="0" w:after="283"/>
              <w:jc w:val="left"/>
              <w:rPr/>
            </w:pPr>
            <w:r>
              <w:rPr/>
              <w:t> </w:t>
            </w:r>
          </w:p>
        </w:tc>
        <w:tc>
          <w:tcPr>
            <w:tcW w:w="513" w:type="dxa"/>
            <w:tcBorders/>
          </w:tcPr>
          <w:p>
            <w:pPr>
              <w:pStyle w:val="TableContents"/>
              <w:bidi w:val="0"/>
              <w:spacing w:before="0" w:after="283"/>
              <w:jc w:val="center"/>
              <w:rPr/>
            </w:pPr>
            <w:r>
              <w:rPr/>
              <w:t>☐</w:t>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center"/>
              <w:rPr/>
            </w:pPr>
            <w:r>
              <w:rPr/>
              <w:t>☐</w:t>
            </w:r>
          </w:p>
        </w:tc>
        <w:tc>
          <w:tcPr>
            <w:tcW w:w="100"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center"/>
              <w:rPr/>
            </w:pPr>
            <w:r>
              <w:rPr/>
              <w:t>☐</w:t>
            </w:r>
          </w:p>
        </w:tc>
        <w:tc>
          <w:tcPr>
            <w:tcW w:w="10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left"/>
              <w:rPr>
                <w:sz w:val="4"/>
                <w:szCs w:val="4"/>
              </w:rPr>
            </w:pPr>
            <w:r>
              <w:rPr>
                <w:sz w:val="4"/>
                <w:szCs w:val="4"/>
              </w:rPr>
            </w:r>
          </w:p>
        </w:tc>
      </w:tr>
      <w:tr>
        <w:trPr>
          <w:trHeight w:val="120" w:hRule="atLeast"/>
        </w:trPr>
        <w:tc>
          <w:tcPr>
            <w:tcW w:w="10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2729"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c>
          <w:tcPr>
            <w:tcW w:w="270" w:type="dxa"/>
            <w:gridSpan w:val="2"/>
            <w:tcBorders/>
            <w:vAlign w:val="center"/>
          </w:tcPr>
          <w:p>
            <w:pPr>
              <w:pStyle w:val="TableContents"/>
              <w:bidi w:val="0"/>
              <w:spacing w:before="0" w:after="283"/>
              <w:jc w:val="left"/>
              <w:rPr>
                <w:sz w:val="4"/>
                <w:szCs w:val="4"/>
              </w:rPr>
            </w:pPr>
            <w:r>
              <w:rPr>
                <w:sz w:val="4"/>
                <w:szCs w:val="4"/>
              </w:rPr>
            </w:r>
          </w:p>
        </w:tc>
      </w:tr>
      <w:tr>
        <w:trPr/>
        <w:tc>
          <w:tcPr>
            <w:tcW w:w="1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71"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629" w:type="dxa"/>
            <w:tcBorders/>
          </w:tcPr>
          <w:p>
            <w:pPr>
              <w:pStyle w:val="TableContents"/>
              <w:bidi w:val="0"/>
              <w:spacing w:before="0" w:after="0"/>
              <w:jc w:val="left"/>
              <w:rPr>
                <w:rFonts w:ascii="Times New Roman" w:hAnsi="Times New Roman"/>
                <w:sz w:val="14"/>
              </w:rPr>
            </w:pPr>
            <w:r>
              <w:rPr>
                <w:rFonts w:ascii="Times New Roman" w:hAnsi="Times New Roman"/>
                <w:sz w:val="14"/>
              </w:rPr>
              <w:t>1b.  Elizabeth Kwo</w:t>
            </w:r>
          </w:p>
        </w:tc>
        <w:tc>
          <w:tcPr>
            <w:tcW w:w="100" w:type="dxa"/>
            <w:tcBorders/>
            <w:vAlign w:val="bottom"/>
          </w:tcPr>
          <w:p>
            <w:pPr>
              <w:pStyle w:val="TableContents"/>
              <w:bidi w:val="0"/>
              <w:spacing w:before="0" w:after="283"/>
              <w:jc w:val="left"/>
              <w:rPr/>
            </w:pPr>
            <w:r>
              <w:rPr/>
              <w:t> </w:t>
            </w:r>
          </w:p>
        </w:tc>
        <w:tc>
          <w:tcPr>
            <w:tcW w:w="513" w:type="dxa"/>
            <w:tcBorders/>
          </w:tcPr>
          <w:p>
            <w:pPr>
              <w:pStyle w:val="TableContents"/>
              <w:bidi w:val="0"/>
              <w:spacing w:before="0" w:after="283"/>
              <w:jc w:val="center"/>
              <w:rPr/>
            </w:pPr>
            <w:r>
              <w:rPr/>
              <w:t>☐</w:t>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center"/>
              <w:rPr/>
            </w:pPr>
            <w:r>
              <w:rPr/>
              <w:t>☐</w:t>
            </w:r>
          </w:p>
        </w:tc>
        <w:tc>
          <w:tcPr>
            <w:tcW w:w="100"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center"/>
              <w:rPr/>
            </w:pPr>
            <w:r>
              <w:rPr/>
              <w:t>☐</w:t>
            </w:r>
          </w:p>
        </w:tc>
        <w:tc>
          <w:tcPr>
            <w:tcW w:w="10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left"/>
              <w:rPr>
                <w:sz w:val="4"/>
                <w:szCs w:val="4"/>
              </w:rPr>
            </w:pPr>
            <w:r>
              <w:rPr>
                <w:sz w:val="4"/>
                <w:szCs w:val="4"/>
              </w:rPr>
            </w:r>
          </w:p>
        </w:tc>
      </w:tr>
      <w:tr>
        <w:trPr/>
        <w:tc>
          <w:tcPr>
            <w:tcW w:w="1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364" w:type="dxa"/>
            <w:gridSpan w:val="11"/>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center"/>
              <w:rPr>
                <w:b/>
              </w:rPr>
            </w:pPr>
            <w:r>
              <w:rPr>
                <w:b/>
              </w:rPr>
              <w:t>For</w:t>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center"/>
              <w:rPr>
                <w:b/>
              </w:rPr>
            </w:pPr>
            <w:r>
              <w:rPr>
                <w:b/>
              </w:rPr>
              <w:t>Against</w:t>
            </w:r>
          </w:p>
        </w:tc>
        <w:tc>
          <w:tcPr>
            <w:tcW w:w="99"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center"/>
              <w:rPr>
                <w:b/>
              </w:rPr>
            </w:pPr>
            <w:r>
              <w:rPr>
                <w:b/>
              </w:rPr>
              <w:t>Abstain</w:t>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left"/>
              <w:rPr>
                <w:sz w:val="4"/>
                <w:szCs w:val="4"/>
              </w:rPr>
            </w:pPr>
            <w:r>
              <w:rPr>
                <w:sz w:val="4"/>
                <w:szCs w:val="4"/>
              </w:rPr>
            </w:r>
          </w:p>
        </w:tc>
      </w:tr>
      <w:tr>
        <w:trPr>
          <w:trHeight w:val="195" w:hRule="atLeast"/>
        </w:trPr>
        <w:tc>
          <w:tcPr>
            <w:tcW w:w="10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7093" w:type="dxa"/>
            <w:gridSpan w:val="10"/>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c>
          <w:tcPr>
            <w:tcW w:w="270" w:type="dxa"/>
            <w:gridSpan w:val="2"/>
            <w:tcBorders/>
            <w:vAlign w:val="center"/>
          </w:tcPr>
          <w:p>
            <w:pPr>
              <w:pStyle w:val="TableContents"/>
              <w:bidi w:val="0"/>
              <w:spacing w:before="0" w:after="283"/>
              <w:jc w:val="left"/>
              <w:rPr>
                <w:sz w:val="4"/>
                <w:szCs w:val="4"/>
              </w:rPr>
            </w:pPr>
            <w:r>
              <w:rPr>
                <w:sz w:val="4"/>
                <w:szCs w:val="4"/>
              </w:rPr>
            </w:r>
          </w:p>
        </w:tc>
      </w:tr>
      <w:tr>
        <w:trPr/>
        <w:tc>
          <w:tcPr>
            <w:tcW w:w="1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71" w:type="dxa"/>
            <w:tcBorders/>
          </w:tcPr>
          <w:p>
            <w:pPr>
              <w:pStyle w:val="TableContents"/>
              <w:bidi w:val="0"/>
              <w:spacing w:before="0" w:after="283"/>
              <w:jc w:val="left"/>
              <w:rPr>
                <w:sz w:val="14"/>
              </w:rPr>
            </w:pPr>
            <w:r>
              <w:rPr>
                <w:sz w:val="14"/>
              </w:rPr>
              <w:t>2.</w:t>
            </w:r>
          </w:p>
        </w:tc>
        <w:tc>
          <w:tcPr>
            <w:tcW w:w="100" w:type="dxa"/>
            <w:tcBorders/>
            <w:vAlign w:val="bottom"/>
          </w:tcPr>
          <w:p>
            <w:pPr>
              <w:pStyle w:val="TableContents"/>
              <w:bidi w:val="0"/>
              <w:spacing w:before="0" w:after="283"/>
              <w:jc w:val="left"/>
              <w:rPr/>
            </w:pPr>
            <w:r>
              <w:rPr/>
              <w:t> </w:t>
            </w:r>
          </w:p>
        </w:tc>
        <w:tc>
          <w:tcPr>
            <w:tcW w:w="6993" w:type="dxa"/>
            <w:gridSpan w:val="9"/>
            <w:tcBorders/>
          </w:tcPr>
          <w:p>
            <w:pPr>
              <w:pStyle w:val="TableContents"/>
              <w:bidi w:val="0"/>
              <w:spacing w:before="0" w:after="283"/>
              <w:jc w:val="left"/>
              <w:rPr>
                <w:sz w:val="14"/>
              </w:rPr>
            </w:pPr>
            <w:r>
              <w:rPr>
                <w:sz w:val="14"/>
              </w:rPr>
              <w:t>The ratification of the appointment of PricewaterhouseCoopers as the Companys independent registered accounting firm for the fiscal year ending April 30, 2026.</w:t>
            </w:r>
          </w:p>
        </w:tc>
        <w:tc>
          <w:tcPr>
            <w:tcW w:w="14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center"/>
              <w:rPr/>
            </w:pPr>
            <w:r>
              <w:rPr/>
              <w:t>☐</w:t>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center"/>
              <w:rPr/>
            </w:pPr>
            <w:r>
              <w:rPr/>
              <w:t>☐</w:t>
            </w:r>
          </w:p>
        </w:tc>
        <w:tc>
          <w:tcPr>
            <w:tcW w:w="99"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center"/>
              <w:rPr/>
            </w:pPr>
            <w:r>
              <w:rPr/>
              <w:t>☐</w:t>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center"/>
              <w:rPr/>
            </w:pPr>
            <w:r>
              <w:rPr/>
              <w:t> </w:t>
            </w:r>
          </w:p>
        </w:tc>
      </w:tr>
      <w:tr>
        <w:trPr>
          <w:trHeight w:val="195" w:hRule="atLeast"/>
        </w:trPr>
        <w:tc>
          <w:tcPr>
            <w:tcW w:w="10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7093" w:type="dxa"/>
            <w:gridSpan w:val="10"/>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c>
          <w:tcPr>
            <w:tcW w:w="270" w:type="dxa"/>
            <w:gridSpan w:val="2"/>
            <w:tcBorders/>
            <w:vAlign w:val="center"/>
          </w:tcPr>
          <w:p>
            <w:pPr>
              <w:pStyle w:val="TableContents"/>
              <w:bidi w:val="0"/>
              <w:spacing w:before="0" w:after="283"/>
              <w:jc w:val="left"/>
              <w:rPr>
                <w:sz w:val="4"/>
                <w:szCs w:val="4"/>
              </w:rPr>
            </w:pPr>
            <w:r>
              <w:rPr>
                <w:sz w:val="4"/>
                <w:szCs w:val="4"/>
              </w:rPr>
            </w:r>
          </w:p>
        </w:tc>
      </w:tr>
      <w:tr>
        <w:trPr/>
        <w:tc>
          <w:tcPr>
            <w:tcW w:w="1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71" w:type="dxa"/>
            <w:tcBorders/>
          </w:tcPr>
          <w:p>
            <w:pPr>
              <w:pStyle w:val="TableContents"/>
              <w:bidi w:val="0"/>
              <w:spacing w:before="0" w:after="283"/>
              <w:jc w:val="left"/>
              <w:rPr>
                <w:sz w:val="14"/>
              </w:rPr>
            </w:pPr>
            <w:r>
              <w:rPr>
                <w:sz w:val="14"/>
              </w:rPr>
              <w:t>3.</w:t>
            </w:r>
          </w:p>
        </w:tc>
        <w:tc>
          <w:tcPr>
            <w:tcW w:w="100" w:type="dxa"/>
            <w:tcBorders/>
            <w:vAlign w:val="bottom"/>
          </w:tcPr>
          <w:p>
            <w:pPr>
              <w:pStyle w:val="TableContents"/>
              <w:bidi w:val="0"/>
              <w:spacing w:before="0" w:after="283"/>
              <w:jc w:val="left"/>
              <w:rPr/>
            </w:pPr>
            <w:r>
              <w:rPr/>
              <w:t> </w:t>
            </w:r>
          </w:p>
        </w:tc>
        <w:tc>
          <w:tcPr>
            <w:tcW w:w="6993" w:type="dxa"/>
            <w:gridSpan w:val="9"/>
            <w:tcBorders/>
          </w:tcPr>
          <w:p>
            <w:pPr>
              <w:pStyle w:val="TableContents"/>
              <w:bidi w:val="0"/>
              <w:spacing w:before="0" w:after="283"/>
              <w:jc w:val="left"/>
              <w:rPr>
                <w:sz w:val="14"/>
              </w:rPr>
            </w:pPr>
            <w:r>
              <w:rPr>
                <w:sz w:val="14"/>
              </w:rPr>
              <w:t>The approval of the Kestra Medical Technologies, Ltd. 2025 Employee Stock Purchase Plan.</w:t>
            </w:r>
          </w:p>
        </w:tc>
        <w:tc>
          <w:tcPr>
            <w:tcW w:w="14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center"/>
              <w:rPr/>
            </w:pPr>
            <w:r>
              <w:rPr/>
              <w:t>☐</w:t>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center"/>
              <w:rPr/>
            </w:pPr>
            <w:r>
              <w:rPr/>
              <w:t>☐</w:t>
            </w:r>
          </w:p>
        </w:tc>
        <w:tc>
          <w:tcPr>
            <w:tcW w:w="99"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center"/>
              <w:rPr/>
            </w:pPr>
            <w:r>
              <w:rPr/>
              <w:t>☐</w:t>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left"/>
              <w:rPr>
                <w:sz w:val="4"/>
                <w:szCs w:val="4"/>
              </w:rPr>
            </w:pPr>
            <w:r>
              <w:rPr>
                <w:sz w:val="4"/>
                <w:szCs w:val="4"/>
              </w:rPr>
            </w:r>
          </w:p>
        </w:tc>
      </w:tr>
      <w:tr>
        <w:trPr>
          <w:trHeight w:val="195" w:hRule="atLeast"/>
        </w:trPr>
        <w:tc>
          <w:tcPr>
            <w:tcW w:w="102" w:type="dxa"/>
            <w:tcBorders/>
            <w:vAlign w:val="center"/>
          </w:tcPr>
          <w:p>
            <w:pPr>
              <w:pStyle w:val="TableContents"/>
              <w:bidi w:val="0"/>
              <w:spacing w:before="0" w:after="283"/>
              <w:jc w:val="left"/>
              <w:rPr>
                <w:sz w:val="4"/>
                <w:szCs w:val="4"/>
              </w:rPr>
            </w:pPr>
            <w:r>
              <w:rPr>
                <w:sz w:val="4"/>
                <w:szCs w:val="4"/>
              </w:rPr>
            </w:r>
          </w:p>
        </w:tc>
        <w:tc>
          <w:tcPr>
            <w:tcW w:w="9833" w:type="dxa"/>
            <w:gridSpan w:val="18"/>
            <w:tcBorders/>
            <w:vAlign w:val="center"/>
          </w:tcPr>
          <w:p>
            <w:pPr>
              <w:pStyle w:val="TableContents"/>
              <w:bidi w:val="0"/>
              <w:spacing w:before="0" w:after="283"/>
              <w:jc w:val="left"/>
              <w:rPr>
                <w:sz w:val="4"/>
                <w:szCs w:val="4"/>
              </w:rPr>
            </w:pPr>
            <w:r>
              <w:rPr>
                <w:sz w:val="4"/>
                <w:szCs w:val="4"/>
              </w:rPr>
            </w:r>
          </w:p>
        </w:tc>
        <w:tc>
          <w:tcPr>
            <w:tcW w:w="270" w:type="dxa"/>
            <w:gridSpan w:val="2"/>
            <w:tcBorders/>
            <w:vAlign w:val="center"/>
          </w:tcPr>
          <w:p>
            <w:pPr>
              <w:pStyle w:val="TableContents"/>
              <w:bidi w:val="0"/>
              <w:spacing w:before="0" w:after="283"/>
              <w:jc w:val="left"/>
              <w:rPr>
                <w:sz w:val="4"/>
                <w:szCs w:val="4"/>
              </w:rPr>
            </w:pPr>
            <w:r>
              <w:rPr>
                <w:sz w:val="4"/>
                <w:szCs w:val="4"/>
              </w:rPr>
            </w:r>
          </w:p>
        </w:tc>
      </w:tr>
      <w:tr>
        <w:trPr/>
        <w:tc>
          <w:tcPr>
            <w:tcW w:w="1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9733" w:type="dxa"/>
            <w:gridSpan w:val="17"/>
            <w:tcBorders/>
          </w:tcPr>
          <w:p>
            <w:pPr>
              <w:pStyle w:val="TableContents"/>
              <w:bidi w:val="0"/>
              <w:spacing w:before="0" w:after="283"/>
              <w:jc w:val="left"/>
              <w:rPr/>
            </w:pPr>
            <w:r>
              <w:rPr>
                <w:b/>
              </w:rPr>
              <w:t xml:space="preserve">NOTE: </w:t>
            </w:r>
            <w:r>
              <w:rPr/>
              <w:t>Such other business as may properly come before the meeting or any adjournment thereof.</w:t>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left"/>
              <w:rPr>
                <w:sz w:val="4"/>
                <w:szCs w:val="4"/>
              </w:rPr>
            </w:pPr>
            <w:r>
              <w:rPr>
                <w:sz w:val="4"/>
                <w:szCs w:val="4"/>
              </w:rPr>
            </w:r>
          </w:p>
        </w:tc>
      </w:tr>
      <w:tr>
        <w:trPr>
          <w:trHeight w:val="1020" w:hRule="atLeast"/>
        </w:trPr>
        <w:tc>
          <w:tcPr>
            <w:tcW w:w="102" w:type="dxa"/>
            <w:tcBorders/>
            <w:vAlign w:val="center"/>
          </w:tcPr>
          <w:p>
            <w:pPr>
              <w:pStyle w:val="TableContents"/>
              <w:bidi w:val="0"/>
              <w:spacing w:before="0" w:after="283"/>
              <w:jc w:val="left"/>
              <w:rPr>
                <w:sz w:val="4"/>
                <w:szCs w:val="4"/>
              </w:rPr>
            </w:pPr>
            <w:r>
              <w:rPr>
                <w:sz w:val="4"/>
                <w:szCs w:val="4"/>
              </w:rPr>
            </w:r>
          </w:p>
        </w:tc>
        <w:tc>
          <w:tcPr>
            <w:tcW w:w="7464" w:type="dxa"/>
            <w:gridSpan w:val="12"/>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c>
          <w:tcPr>
            <w:tcW w:w="270" w:type="dxa"/>
            <w:gridSpan w:val="2"/>
            <w:tcBorders/>
            <w:vAlign w:val="center"/>
          </w:tcPr>
          <w:p>
            <w:pPr>
              <w:pStyle w:val="TableContents"/>
              <w:bidi w:val="0"/>
              <w:spacing w:before="0" w:after="283"/>
              <w:jc w:val="left"/>
              <w:rPr>
                <w:sz w:val="4"/>
                <w:szCs w:val="4"/>
              </w:rPr>
            </w:pPr>
            <w:r>
              <w:rPr>
                <w:sz w:val="4"/>
                <w:szCs w:val="4"/>
              </w:rPr>
            </w:r>
          </w:p>
        </w:tc>
      </w:tr>
      <w:tr>
        <w:trPr/>
        <w:tc>
          <w:tcPr>
            <w:tcW w:w="1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364" w:type="dxa"/>
            <w:gridSpan w:val="11"/>
            <w:tcBorders/>
          </w:tcPr>
          <w:p>
            <w:pPr>
              <w:pStyle w:val="TableContents"/>
              <w:bidi w:val="0"/>
              <w:spacing w:before="0" w:after="0"/>
              <w:jc w:val="left"/>
              <w:rPr>
                <w:rFonts w:ascii="Times New Roman" w:hAnsi="Times New Roman"/>
                <w:sz w:val="14"/>
              </w:rPr>
            </w:pPr>
            <w:r>
              <w:rPr>
                <w:rFonts w:ascii="Times New Roman" w:hAnsi="Times New Roman"/>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4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7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6" w:space="2" w:color="000000"/>
        </w:rPr>
      </w:pPr>
      <w:r>
        <w:rPr>
          <w:bdr w:val="single" w:sz="16" w:space="2" w:color="000000"/>
        </w:rPr>
        <w:t> </w:t>
      </w:r>
    </w:p>
    <w:tbl>
      <w:tblPr>
        <w:tblW w:w="4950" w:type="pct"/>
        <w:jc w:val="right"/>
        <w:tblInd w:w="0" w:type="dxa"/>
        <w:tblLayout w:type="fixed"/>
        <w:tblCellMar>
          <w:top w:w="0" w:type="dxa"/>
          <w:left w:w="0" w:type="dxa"/>
          <w:bottom w:w="0" w:type="dxa"/>
          <w:right w:w="0" w:type="dxa"/>
        </w:tblCellMar>
      </w:tblPr>
      <w:tblGrid>
        <w:gridCol w:w="238"/>
        <w:gridCol w:w="158"/>
        <w:gridCol w:w="2612"/>
        <w:gridCol w:w="110"/>
        <w:gridCol w:w="697"/>
        <w:gridCol w:w="110"/>
        <w:gridCol w:w="1266"/>
        <w:gridCol w:w="60"/>
        <w:gridCol w:w="2567"/>
        <w:gridCol w:w="60"/>
        <w:gridCol w:w="850"/>
        <w:gridCol w:w="60"/>
        <w:gridCol w:w="60"/>
        <w:gridCol w:w="60"/>
        <w:gridCol w:w="1005"/>
        <w:gridCol w:w="120"/>
        <w:gridCol w:w="69"/>
      </w:tblGrid>
      <w:tr>
        <w:trPr/>
        <w:tc>
          <w:tcPr>
            <w:tcW w:w="238"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38" w:type="dxa"/>
            <w:tcBorders/>
            <w:vAlign w:val="bottom"/>
          </w:tcPr>
          <w:p>
            <w:pPr>
              <w:pStyle w:val="TableContents"/>
              <w:bidi w:val="0"/>
              <w:spacing w:before="0" w:after="283"/>
              <w:jc w:val="left"/>
              <w:rPr/>
            </w:pPr>
            <w:r>
              <w:rPr/>
              <w:t> </w:t>
            </w:r>
          </w:p>
        </w:tc>
        <w:tc>
          <w:tcPr>
            <w:tcW w:w="158"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612"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110" w:type="dxa"/>
            <w:tcBorders>
              <w:top w:val="single" w:sz="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697"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567"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850"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3008" w:type="dxa"/>
            <w:gridSpan w:val="3"/>
            <w:tcBorders/>
            <w:vAlign w:val="bottom"/>
          </w:tcPr>
          <w:p>
            <w:pPr>
              <w:pStyle w:val="TableContents"/>
              <w:bidi w:val="0"/>
              <w:spacing w:before="0" w:after="283"/>
              <w:jc w:val="left"/>
              <w:rPr/>
            </w:pPr>
            <w:r>
              <w:rPr/>
              <w:t>  </w:t>
            </w:r>
            <w:r>
              <w:rPr>
                <w:rFonts w:ascii="Times New Roman" w:hAnsi="Times New Roman"/>
              </w:rPr>
              <w:t>Signature [PLEASE SIGN WITHIN BOX]</w:t>
            </w:r>
          </w:p>
        </w:tc>
        <w:tc>
          <w:tcPr>
            <w:tcW w:w="11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0"/>
              <w:jc w:val="left"/>
              <w:rPr>
                <w:rFonts w:ascii="Times New Roman" w:hAnsi="Times New Roman"/>
                <w:sz w:val="14"/>
              </w:rPr>
            </w:pPr>
            <w:r>
              <w:rPr>
                <w:rFonts w:ascii="Times New Roman" w:hAnsi="Times New Roman"/>
                <w:sz w:val="14"/>
              </w:rPr>
              <w:t>Date   </w:t>
            </w:r>
          </w:p>
        </w:tc>
        <w:tc>
          <w:tcPr>
            <w:tcW w:w="11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2567" w:type="dxa"/>
            <w:tcBorders/>
            <w:vAlign w:val="bottom"/>
          </w:tcPr>
          <w:p>
            <w:pPr>
              <w:pStyle w:val="TableContents"/>
              <w:bidi w:val="0"/>
              <w:spacing w:before="0" w:after="283"/>
              <w:jc w:val="left"/>
              <w:rPr>
                <w:rFonts w:ascii="Times New Roman" w:hAnsi="Times New Roman"/>
              </w:rPr>
            </w:pPr>
            <w:r>
              <w:rPr>
                <w:rFonts w:ascii="Times New Roman" w:hAnsi="Times New Roman"/>
              </w:rPr>
              <w:t>Signature (Joint Owners)</w:t>
            </w:r>
          </w:p>
        </w:tc>
        <w:tc>
          <w:tcPr>
            <w:tcW w:w="6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center"/>
              <w:rPr>
                <w:rFonts w:ascii="Times New Roman" w:hAnsi="Times New Roman"/>
              </w:rPr>
            </w:pPr>
            <w:r>
              <w:rPr>
                <w:rFonts w:ascii="Times New Roman" w:hAnsi="Times New Roman"/>
              </w:rPr>
              <w:t>Date   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240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bidi w:val="0"/>
        <w:spacing w:before="0" w:after="0"/>
        <w:jc w:val="center"/>
        <w:rPr>
          <w:rFonts w:ascii="Times New Roman" w:hAnsi="Times New Roman"/>
          <w:sz w:val="20"/>
        </w:rPr>
      </w:pPr>
      <w:r>
        <w:rPr>
          <w:rFonts w:ascii="Times New Roman" w:hAnsi="Times New Roman"/>
          <w:sz w:val="20"/>
        </w:rPr>
        <w:t xml:space="preserve">The Notice of the 2025 Annual Meeting of Shareholders, Proxy Statement and Annual Report on Form 10-K </w:t>
      </w:r>
    </w:p>
    <w:p>
      <w:pPr>
        <w:pStyle w:val="TextBody"/>
        <w:bidi w:val="0"/>
        <w:spacing w:before="0" w:after="0"/>
        <w:jc w:val="center"/>
        <w:rPr>
          <w:rFonts w:ascii="Times New Roman" w:hAnsi="Times New Roman"/>
          <w:sz w:val="20"/>
        </w:rPr>
      </w:pPr>
      <w:r>
        <w:rPr>
          <w:rFonts w:ascii="Times New Roman" w:hAnsi="Times New Roman"/>
          <w:sz w:val="20"/>
        </w:rPr>
        <w:t xml:space="preserve">are available at www.proxyvote.com. </w:t>
      </w:r>
    </w:p>
    <w:p>
      <w:pPr>
        <w:pStyle w:val="TextBody"/>
        <w:bidi w:val="0"/>
        <w:spacing w:before="0" w:after="0"/>
        <w:jc w:val="left"/>
        <w:rPr/>
      </w:pPr>
      <w:r>
        <w:rPr/>
        <w:t> </w:t>
      </w:r>
    </w:p>
    <w:p>
      <w:pPr>
        <w:pStyle w:val="TextBody"/>
        <w:bidi w:val="0"/>
        <w:spacing w:before="2400" w:after="0"/>
        <w:jc w:val="left"/>
        <w:rPr>
          <w:rFonts w:ascii="Times New Roman" w:hAnsi="Times New Roman"/>
          <w:sz w:val="20"/>
        </w:rPr>
      </w:pPr>
      <w:r>
        <w:rPr>
          <w:rFonts w:ascii="Times New Roman" w:hAnsi="Times New Roman"/>
          <w:sz w:val="20"/>
        </w:rPr>
        <w:t xml:space="preserve">                                                   </w:t>
      </w:r>
    </w:p>
    <w:p>
      <w:pPr>
        <w:pStyle w:val="TextBody"/>
        <w:bidi w:val="0"/>
        <w:spacing w:before="0" w:after="0"/>
        <w:jc w:val="right"/>
        <w:rPr>
          <w:rFonts w:ascii="Times New Roman" w:hAnsi="Times New Roman"/>
          <w:sz w:val="14"/>
        </w:rPr>
      </w:pPr>
      <w:r>
        <w:rPr>
          <w:rFonts w:ascii="Times New Roman" w:hAnsi="Times New Roman"/>
          <w:sz w:val="14"/>
        </w:rPr>
        <w:t xml:space="preserve">V77064-P35991    </w:t>
      </w:r>
    </w:p>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bdr w:val="single" w:sz="16" w:space="2" w:color="000000"/>
        </w:rPr>
      </w:pPr>
      <w:r>
        <w:rPr>
          <w:bdr w:val="single" w:sz="16" w:space="2" w:color="000000"/>
        </w:rPr>
        <w:t xml:space="preserve">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KESTRA MEDICAL TECHNOLOGIES, LTD.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ANNUAL MEETING OF SHAREHOLDERS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SEPTEMBER 3, 2025 11:30 a.m. Eastern Time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THIS PROXY IS SOLICITED ON BEHALF OF THE BOARD OF DIRECTORS </w:t>
      </w:r>
    </w:p>
    <w:p>
      <w:pPr>
        <w:pStyle w:val="TextBody"/>
        <w:bidi w:val="0"/>
        <w:spacing w:before="400" w:after="0"/>
        <w:jc w:val="left"/>
        <w:rPr>
          <w:rFonts w:ascii="Times New Roman" w:hAnsi="Times New Roman"/>
          <w:sz w:val="20"/>
          <w:bdr w:val="single" w:sz="16" w:space="2" w:color="000000"/>
        </w:rPr>
      </w:pPr>
      <w:r>
        <w:rPr>
          <w:rFonts w:ascii="Times New Roman" w:hAnsi="Times New Roman"/>
          <w:sz w:val="20"/>
          <w:bdr w:val="single" w:sz="16" w:space="2" w:color="000000"/>
        </w:rPr>
        <w:t xml:space="preserve">The undersigned hereby appoints Brian Webster and Traci S. Umberger, or either of them, as proxies, each with the power to act without the other and with full power of substitution, and hereby authorizes them to represent and to vote, as designated on the reverse side of this ballot, all of the shares of Common Shares of KESTRA MEDICAL TECHNOLOGIES, LTD. that the undersigned is entitled to vote at the Annual Meeting of Shareholders to be held at September 3, 2025, on 11:30 a.m. Eastern Time, at www.virtualshareholdermeeting.com/KMTS2025, and any adjournment or postponement thereof, with all the powers which the undersigned would possess if present at the Annual Meeting. </w:t>
      </w:r>
    </w:p>
    <w:p>
      <w:pPr>
        <w:pStyle w:val="TextBody"/>
        <w:bidi w:val="0"/>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This proxy, when properly executed, will be voted in the manner directed herein. If no such direction is made, this proxy will be voted in accordance with the Board of Directors' recommendations. </w:t>
      </w:r>
    </w:p>
    <w:p>
      <w:pPr>
        <w:pStyle w:val="TextBody"/>
        <w:bidi w:val="0"/>
        <w:spacing w:before="180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Continued and to be signed on reverse side </w:t>
      </w:r>
    </w:p>
    <w:p>
      <w:pPr>
        <w:pStyle w:val="TextBody"/>
        <w:pBdr/>
        <w:bidi w:val="0"/>
        <w:spacing w:before="0" w:after="0"/>
        <w:jc w:val="center"/>
        <w:rPr>
          <w:bdr w:val="single" w:sz="16" w:space="2" w:color="000000"/>
        </w:rPr>
      </w:pPr>
      <w:r>
        <w:rPr>
          <w:bdr w:val="single" w:sz="16" w:space="2" w:color="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31856</Words>
  <Characters>164913</Characters>
  <CharactersWithSpaces>196864</CharactersWithSpaces>
  <Paragraphs>2416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