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44414d424b4.htm"/>
        <w:bookmarkStart w:id="1" w:name="ksd744414d424b4"/>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424(b)(4) </w:t>
        <w:br/>
        <w:t>Registration No. 333-284807</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PROSPECTUS </w:t>
      </w:r>
    </w:p>
    <w:p>
      <w:pPr>
        <w:pStyle w:val="TextBody"/>
        <w:bidi w:val="0"/>
        <w:spacing w:before="360" w:after="0"/>
        <w:jc w:val="center"/>
        <w:rPr>
          <w:rFonts w:ascii="Times New Roman" w:hAnsi="Times New Roman"/>
          <w:b/>
          <w:sz w:val="36"/>
        </w:rPr>
      </w:pPr>
      <w:r>
        <w:rPr>
          <w:rFonts w:ascii="Times New Roman" w:hAnsi="Times New Roman"/>
          <w:b/>
          <w:sz w:val="36"/>
        </w:rPr>
        <w:t xml:space="preserve">11,882,352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69410" cy="11480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69410" cy="1148080"/>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b/>
          <w:sz w:val="28"/>
        </w:rPr>
      </w:pPr>
      <w:r>
        <w:rPr>
          <w:rFonts w:ascii="Times New Roman" w:hAnsi="Times New Roman"/>
          <w:b/>
          <w:sz w:val="28"/>
        </w:rPr>
        <w:t xml:space="preserve">Common Shares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18"/>
        </w:rPr>
      </w:pPr>
      <w:r>
        <w:rPr>
          <w:rFonts w:ascii="Times New Roman" w:hAnsi="Times New Roman"/>
          <w:sz w:val="18"/>
        </w:rPr>
        <w:t xml:space="preserve">This is the initial public offering of Kestra Medical Technologies, Ltd. We are selling 11,882,352 common shares. The public offering price is $17.00 per common share. Prior to this offering, there was no public market for the common shares. We have been approved to list our common shares on The Nasdaq Global Select Market under the symbol KMTS. </w:t>
      </w:r>
    </w:p>
    <w:p>
      <w:pPr>
        <w:pStyle w:val="TextBody"/>
        <w:bidi w:val="0"/>
        <w:spacing w:before="240" w:after="0"/>
        <w:jc w:val="left"/>
        <w:rPr>
          <w:rFonts w:ascii="Times New Roman" w:hAnsi="Times New Roman"/>
          <w:sz w:val="18"/>
        </w:rPr>
      </w:pPr>
      <w:r>
        <w:rPr>
          <w:rFonts w:ascii="Times New Roman" w:hAnsi="Times New Roman"/>
          <w:sz w:val="18"/>
        </w:rPr>
        <w:t xml:space="preserve">Upon the closing of this offering, an investment fund advised by affiliates of Bain Capital, L.P. will own approximately 50.4% of our common shares (or 48.6% of our outstanding common shares if the underwriters exercise in full their over-allotment option). As a result, we will be a controlled company within the meaning of the applicable listing rules of the Nasdaq Global Select Market. See ManagementControlled Company Exception and Principal Shareholders. </w:t>
      </w:r>
    </w:p>
    <w:p>
      <w:pPr>
        <w:pStyle w:val="TextBody"/>
        <w:bidi w:val="0"/>
        <w:spacing w:before="240" w:after="0"/>
        <w:jc w:val="left"/>
        <w:rPr>
          <w:rFonts w:ascii="Times New Roman" w:hAnsi="Times New Roman"/>
          <w:sz w:val="18"/>
        </w:rPr>
      </w:pPr>
      <w:r>
        <w:rPr>
          <w:rFonts w:ascii="Times New Roman" w:hAnsi="Times New Roman"/>
          <w:sz w:val="18"/>
        </w:rPr>
        <w:t xml:space="preserve">We are an emerging growth company and a smaller reporting company as defined under the federal securities laws and, under applicable Securities and Exchange Commission (SEC) rules, we have elected to comply with certain reduced public company reporting and disclosure requirements. See Prospectus SummaryImplications of Being an Emerging Growth Company and a Smaller Reporting Company. </w:t>
      </w:r>
    </w:p>
    <w:p>
      <w:pPr>
        <w:pStyle w:val="TextBody"/>
        <w:bidi w:val="0"/>
        <w:spacing w:before="240" w:after="0"/>
        <w:jc w:val="left"/>
        <w:rPr/>
      </w:pPr>
      <w:r>
        <w:rPr>
          <w:rFonts w:ascii="Times New Roman" w:hAnsi="Times New Roman"/>
          <w:b/>
          <w:sz w:val="22"/>
        </w:rPr>
        <w:t>Investing in our common shares involves risks that are described in the </w:t>
      </w:r>
      <w:hyperlink w:anchor="rom744414_2">
        <w:r>
          <w:rPr>
            <w:rStyle w:val="InternetLink"/>
            <w:rFonts w:ascii="Times New Roman" w:hAnsi="Times New Roman"/>
            <w:b/>
            <w:sz w:val="22"/>
          </w:rPr>
          <w:t>Risk Factors</w:t>
        </w:r>
      </w:hyperlink>
      <w:r>
        <w:rPr>
          <w:rFonts w:ascii="Times New Roman" w:hAnsi="Times New Roman"/>
          <w:b/>
          <w:sz w:val="22"/>
        </w:rPr>
        <w:t xml:space="preserve"> section beginning on page 22 of this prospectus.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4516"/>
        <w:gridCol w:w="194"/>
        <w:gridCol w:w="140"/>
        <w:gridCol w:w="818"/>
        <w:gridCol w:w="228"/>
        <w:gridCol w:w="979"/>
        <w:gridCol w:w="140"/>
        <w:gridCol w:w="1594"/>
        <w:gridCol w:w="65"/>
      </w:tblGrid>
      <w:tr>
        <w:trPr/>
        <w:tc>
          <w:tcPr>
            <w:tcW w:w="4516"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8"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Per Share</w:t>
            </w:r>
          </w:p>
        </w:tc>
        <w:tc>
          <w:tcPr>
            <w:tcW w:w="228"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pPr>
            <w:r>
              <w:rPr/>
              <w:t>    </w:t>
            </w:r>
          </w:p>
        </w:tc>
        <w:tc>
          <w:tcPr>
            <w:tcW w:w="173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Total</w:t>
            </w:r>
          </w:p>
        </w:tc>
        <w:tc>
          <w:tcPr>
            <w:tcW w:w="65" w:type="dxa"/>
            <w:tcBorders/>
            <w:vAlign w:val="bottom"/>
          </w:tcPr>
          <w:p>
            <w:pPr>
              <w:pStyle w:val="TableContents"/>
              <w:bidi w:val="0"/>
              <w:spacing w:before="0" w:after="283"/>
              <w:jc w:val="left"/>
              <w:rPr/>
            </w:pPr>
            <w:r>
              <w:rPr/>
              <w:t> </w:t>
            </w:r>
          </w:p>
        </w:tc>
      </w:tr>
      <w:tr>
        <w:trPr/>
        <w:tc>
          <w:tcPr>
            <w:tcW w:w="451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17.00</w:t>
            </w:r>
          </w:p>
        </w:tc>
        <w:tc>
          <w:tcPr>
            <w:tcW w:w="228"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94" w:type="dxa"/>
            <w:tcBorders/>
            <w:shd w:fill="CCEEFF" w:val="clear"/>
            <w:vAlign w:val="bottom"/>
          </w:tcPr>
          <w:p>
            <w:pPr>
              <w:pStyle w:val="TableContents"/>
              <w:bidi w:val="0"/>
              <w:spacing w:before="0" w:after="283"/>
              <w:jc w:val="right"/>
              <w:rPr/>
            </w:pPr>
            <w:r>
              <w:rPr/>
              <w:t>201,999,984.00</w:t>
            </w:r>
          </w:p>
        </w:tc>
        <w:tc>
          <w:tcPr>
            <w:tcW w:w="65" w:type="dxa"/>
            <w:tcBorders/>
            <w:shd w:fill="CCEEFF" w:val="clear"/>
            <w:vAlign w:val="bottom"/>
          </w:tcPr>
          <w:p>
            <w:pPr>
              <w:pStyle w:val="TableContents"/>
              <w:bidi w:val="0"/>
              <w:spacing w:before="0" w:after="283"/>
              <w:jc w:val="left"/>
              <w:rPr/>
            </w:pPr>
            <w:r>
              <w:rPr/>
              <w:t> </w:t>
            </w:r>
          </w:p>
        </w:tc>
      </w:tr>
      <w:tr>
        <w:trPr/>
        <w:tc>
          <w:tcPr>
            <w:tcW w:w="4516"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 (1)</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1.2104</w:t>
            </w:r>
          </w:p>
        </w:tc>
        <w:tc>
          <w:tcPr>
            <w:tcW w:w="228"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94" w:type="dxa"/>
            <w:tcBorders/>
            <w:vAlign w:val="bottom"/>
          </w:tcPr>
          <w:p>
            <w:pPr>
              <w:pStyle w:val="TableContents"/>
              <w:bidi w:val="0"/>
              <w:spacing w:before="0" w:after="283"/>
              <w:jc w:val="right"/>
              <w:rPr/>
            </w:pPr>
            <w:r>
              <w:rPr/>
              <w:t>14,382,398.86</w:t>
            </w:r>
          </w:p>
        </w:tc>
        <w:tc>
          <w:tcPr>
            <w:tcW w:w="65" w:type="dxa"/>
            <w:tcBorders/>
            <w:vAlign w:val="bottom"/>
          </w:tcPr>
          <w:p>
            <w:pPr>
              <w:pStyle w:val="TableContents"/>
              <w:bidi w:val="0"/>
              <w:spacing w:before="0" w:after="283"/>
              <w:jc w:val="left"/>
              <w:rPr/>
            </w:pPr>
            <w:r>
              <w:rPr/>
              <w:t> </w:t>
            </w:r>
          </w:p>
        </w:tc>
      </w:tr>
      <w:tr>
        <w:trPr/>
        <w:tc>
          <w:tcPr>
            <w:tcW w:w="451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us</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15.7896</w:t>
            </w:r>
          </w:p>
        </w:tc>
        <w:tc>
          <w:tcPr>
            <w:tcW w:w="228"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94" w:type="dxa"/>
            <w:tcBorders/>
            <w:shd w:fill="CCEEFF" w:val="clear"/>
            <w:vAlign w:val="bottom"/>
          </w:tcPr>
          <w:p>
            <w:pPr>
              <w:pStyle w:val="TableContents"/>
              <w:bidi w:val="0"/>
              <w:spacing w:before="0" w:after="283"/>
              <w:jc w:val="right"/>
              <w:rPr/>
            </w:pPr>
            <w:r>
              <w:rPr/>
              <w:t>187,617,585.14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98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We refer you to the section titled Underwriting for additional information regarding underwriter compensation. </w:t>
            </w:r>
          </w:p>
        </w:tc>
      </w:tr>
    </w:tbl>
    <w:p>
      <w:pPr>
        <w:pStyle w:val="TextBody"/>
        <w:bidi w:val="0"/>
        <w:spacing w:before="240" w:after="0"/>
        <w:jc w:val="left"/>
        <w:rPr>
          <w:rFonts w:ascii="Times New Roman" w:hAnsi="Times New Roman"/>
          <w:sz w:val="18"/>
        </w:rPr>
      </w:pPr>
      <w:r>
        <w:rPr>
          <w:rFonts w:ascii="Times New Roman" w:hAnsi="Times New Roman"/>
          <w:sz w:val="18"/>
        </w:rPr>
        <w:t xml:space="preserve">We have granted the underwriters an over-allotment option for a period of 30 days from the date of this prospectus to purchase up to 1,782,352 additional common shares. </w:t>
      </w:r>
    </w:p>
    <w:p>
      <w:pPr>
        <w:pStyle w:val="TextBody"/>
        <w:bidi w:val="0"/>
        <w:spacing w:before="240" w:after="0"/>
        <w:jc w:val="left"/>
        <w:rPr>
          <w:rFonts w:ascii="Times New Roman" w:hAnsi="Times New Roman"/>
          <w:sz w:val="18"/>
        </w:rPr>
      </w:pPr>
      <w:r>
        <w:rPr>
          <w:rFonts w:ascii="Times New Roman" w:hAnsi="Times New Roman"/>
          <w:sz w:val="18"/>
        </w:rPr>
        <w:t xml:space="preserve">At our request, the underwriters have reserved up to 5% of the common shares offered hereby, for sale at the initial public offering price through a reserved shares program to our officers, directors, team members and certain of their friends or family. See UnderwritingReserved Shares.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 nor any other regulatory body has approved or disapproved of these securities or passed upon the adequacy or accuracy of this prospectus. Any representation to the contrary is a criminal offense. </w:t>
      </w:r>
    </w:p>
    <w:p>
      <w:pPr>
        <w:pStyle w:val="TextBody"/>
        <w:bidi w:val="0"/>
        <w:spacing w:before="240" w:after="0"/>
        <w:jc w:val="left"/>
        <w:rPr>
          <w:rFonts w:ascii="Times New Roman" w:hAnsi="Times New Roman"/>
          <w:sz w:val="18"/>
        </w:rPr>
      </w:pPr>
      <w:r>
        <w:rPr>
          <w:rFonts w:ascii="Times New Roman" w:hAnsi="Times New Roman"/>
          <w:sz w:val="18"/>
        </w:rPr>
        <w:t xml:space="preserve">The Bermuda Monetary Authority has given general permission under the Exchange Control Act 1972 (and its related regulations) for the issue and transfer of our common shares that are the subject of this offering to and between residents and non-residents of Bermuda, for exchange control purposes, provided our shares remain listed on an appointed stock exchange, which includes the Nasdaq Global Select Market. In granting such general permission, the Bermuda Monetary Authority does not accept any responsibility for our financial soundness or the correctness of any of the statements made or opinions expressed in this prospectus. </w:t>
      </w:r>
    </w:p>
    <w:p>
      <w:pPr>
        <w:pStyle w:val="TextBody"/>
        <w:bidi w:val="0"/>
        <w:spacing w:before="240" w:after="0"/>
        <w:jc w:val="left"/>
        <w:rPr>
          <w:rFonts w:ascii="Times New Roman" w:hAnsi="Times New Roman"/>
          <w:sz w:val="18"/>
        </w:rPr>
      </w:pPr>
      <w:r>
        <w:rPr>
          <w:rFonts w:ascii="Times New Roman" w:hAnsi="Times New Roman"/>
          <w:sz w:val="18"/>
        </w:rPr>
        <w:t xml:space="preserve">The common shares will be ready for delivery on or about March 7, 2025.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3"/>
        <w:gridCol w:w="101"/>
        <w:gridCol w:w="4901"/>
        <w:gridCol w:w="100"/>
        <w:gridCol w:w="2450"/>
      </w:tblGrid>
      <w:tr>
        <w:trPr/>
        <w:tc>
          <w:tcPr>
            <w:tcW w:w="26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BofA Securities</w:t>
            </w:r>
          </w:p>
        </w:tc>
        <w:tc>
          <w:tcPr>
            <w:tcW w:w="101"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center"/>
              <w:rPr>
                <w:b/>
              </w:rPr>
            </w:pPr>
            <w:r>
              <w:rPr>
                <w:b/>
              </w:rPr>
              <w:t>Goldman Sachs &amp; Co. LLC</w:t>
            </w:r>
          </w:p>
        </w:tc>
        <w:tc>
          <w:tcPr>
            <w:tcW w:w="100"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Piper Sandler</w:t>
            </w:r>
          </w:p>
        </w:tc>
      </w:tr>
    </w:tbl>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b/>
              </w:rPr>
            </w:pPr>
            <w:r>
              <w:rPr>
                <w:b/>
              </w:rPr>
              <w:t>Wells Fargo Securities</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b/>
              </w:rPr>
            </w:pPr>
            <w:r>
              <w:rPr>
                <w:b/>
              </w:rPr>
              <w:t>Stifel</w:t>
            </w:r>
          </w:p>
        </w:tc>
      </w:tr>
    </w:tbl>
    <w:tbl>
      <w:tblPr>
        <w:tblW w:w="5000" w:type="pct"/>
        <w:jc w:val="center"/>
        <w:tblInd w:w="0" w:type="dxa"/>
        <w:tblLayout w:type="fixed"/>
        <w:tblCellMar>
          <w:top w:w="0" w:type="dxa"/>
          <w:left w:w="0" w:type="dxa"/>
          <w:bottom w:w="0" w:type="dxa"/>
          <w:right w:w="0" w:type="dxa"/>
        </w:tblCellMar>
      </w:tblPr>
      <w:tblGrid>
        <w:gridCol w:w="1735"/>
        <w:gridCol w:w="305"/>
        <w:gridCol w:w="6635"/>
        <w:gridCol w:w="102"/>
        <w:gridCol w:w="1428"/>
      </w:tblGrid>
      <w:tr>
        <w:trPr/>
        <w:tc>
          <w:tcPr>
            <w:tcW w:w="1735"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735" w:type="dxa"/>
            <w:tcBorders/>
            <w:vAlign w:val="center"/>
          </w:tcPr>
          <w:p>
            <w:pPr>
              <w:pStyle w:val="TableContents"/>
              <w:bidi w:val="0"/>
              <w:spacing w:before="0" w:after="283"/>
              <w:jc w:val="left"/>
              <w:rPr>
                <w:sz w:val="4"/>
                <w:szCs w:val="4"/>
              </w:rPr>
            </w:pPr>
            <w:r>
              <w:rPr>
                <w:sz w:val="4"/>
                <w:szCs w:val="4"/>
              </w:rPr>
            </w:r>
          </w:p>
        </w:tc>
        <w:tc>
          <w:tcPr>
            <w:tcW w:w="6940" w:type="dxa"/>
            <w:gridSpan w:val="2"/>
            <w:tcBorders/>
            <w:vAlign w:val="center"/>
          </w:tcPr>
          <w:p>
            <w:pPr>
              <w:pStyle w:val="TableContents"/>
              <w:bidi w:val="0"/>
              <w:spacing w:before="0" w:after="283"/>
              <w:jc w:val="left"/>
              <w:rPr>
                <w:sz w:val="4"/>
                <w:szCs w:val="4"/>
              </w:rPr>
            </w:pPr>
            <w:r>
              <w:rPr>
                <w:sz w:val="4"/>
                <w:szCs w:val="4"/>
              </w:rPr>
            </w:r>
          </w:p>
        </w:tc>
        <w:tc>
          <w:tcPr>
            <w:tcW w:w="1530" w:type="dxa"/>
            <w:gridSpan w:val="2"/>
            <w:tcBorders/>
            <w:vAlign w:val="center"/>
          </w:tcPr>
          <w:p>
            <w:pPr>
              <w:pStyle w:val="TableContents"/>
              <w:bidi w:val="0"/>
              <w:spacing w:before="0" w:after="283"/>
              <w:jc w:val="left"/>
              <w:rPr>
                <w:sz w:val="4"/>
                <w:szCs w:val="4"/>
              </w:rPr>
            </w:pPr>
            <w:r>
              <w:rPr>
                <w:sz w:val="4"/>
                <w:szCs w:val="4"/>
              </w:rPr>
            </w:r>
          </w:p>
        </w:tc>
      </w:tr>
      <w:tr>
        <w:trPr/>
        <w:tc>
          <w:tcPr>
            <w:tcW w:w="1735" w:type="dxa"/>
            <w:tcBorders/>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center"/>
              <w:rPr>
                <w:b/>
              </w:rPr>
            </w:pPr>
            <w:r>
              <w:rPr>
                <w:b/>
              </w:rPr>
              <w:t>Wolfe | Nomura Alliance</w:t>
            </w:r>
          </w:p>
        </w:tc>
        <w:tc>
          <w:tcPr>
            <w:tcW w:w="102" w:type="dxa"/>
            <w:tcBorders/>
            <w:vAlign w:val="bottom"/>
          </w:tcPr>
          <w:p>
            <w:pPr>
              <w:pStyle w:val="TableContents"/>
              <w:bidi w:val="0"/>
              <w:spacing w:before="0" w:after="283"/>
              <w:jc w:val="left"/>
              <w:rPr/>
            </w:pPr>
            <w:r>
              <w:rPr/>
              <w:t> </w:t>
            </w:r>
          </w:p>
        </w:tc>
        <w:tc>
          <w:tcPr>
            <w:tcW w:w="142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16"/>
        </w:rPr>
      </w:pPr>
      <w:r>
        <w:rPr>
          <w:rFonts w:ascii="Times New Roman" w:hAnsi="Times New Roman"/>
          <w:sz w:val="16"/>
        </w:rPr>
        <w:t xml:space="preserve">The date of this prospectus is March 5,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7"/>
        <w:gridCol w:w="153"/>
        <w:gridCol w:w="60"/>
        <w:gridCol w:w="382"/>
        <w:gridCol w:w="63"/>
      </w:tblGrid>
      <w:tr>
        <w:trPr/>
        <w:tc>
          <w:tcPr>
            <w:tcW w:w="954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tcBorders/>
            <w:vAlign w:val="bottom"/>
          </w:tcPr>
          <w:p>
            <w:pPr>
              <w:pStyle w:val="TableContents"/>
              <w:bidi w:val="0"/>
              <w:spacing w:before="0" w:after="0"/>
              <w:jc w:val="left"/>
              <w:rPr/>
            </w:pPr>
            <w:hyperlink w:anchor="rom744414_1">
              <w:r>
                <w:rPr>
                  <w:rStyle w:val="InternetLink"/>
                  <w:rFonts w:ascii="Times New Roman" w:hAnsi="Times New Roman"/>
                  <w:sz w:val="20"/>
                </w:rPr>
                <w:t>PROSPECTUS 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2">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3">
              <w:r>
                <w:rPr>
                  <w:rStyle w:val="InternetLink"/>
                  <w:rFonts w:ascii="Times New Roman" w:hAnsi="Times New Roman"/>
                  <w:sz w:val="20"/>
                </w:rPr>
                <w:t>SPECIAL NOTE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4">
              <w:r>
                <w:rPr>
                  <w:rStyle w:val="InternetLink"/>
                  <w:rFonts w:ascii="Times New Roman" w:hAnsi="Times New Roman"/>
                  <w:sz w:val="20"/>
                </w:rPr>
                <w:t>ORGANIZATIONAL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5">
              <w:r>
                <w:rPr>
                  <w:rStyle w:val="InternetLink"/>
                  <w:rFonts w:ascii="Times New Roman" w:hAnsi="Times New Roman"/>
                  <w:sz w:val="20"/>
                </w:rPr>
                <w:t>USE OF PROCEEDS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6">
              <w:r>
                <w:rPr>
                  <w:rStyle w:val="InternetLink"/>
                  <w:rFonts w:ascii="Times New Roman" w:hAnsi="Times New Roman"/>
                  <w:sz w:val="20"/>
                </w:rPr>
                <w:t>DIVIDEND POLICY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7">
              <w:r>
                <w:rPr>
                  <w:rStyle w:val="InternetLink"/>
                  <w:rFonts w:ascii="Times New Roman" w:hAnsi="Times New Roman"/>
                  <w:sz w:val="20"/>
                </w:rPr>
                <w:t>CAPITALIZATION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8">
              <w:r>
                <w:rPr>
                  <w:rStyle w:val="InternetLink"/>
                  <w:rFonts w:ascii="Times New Roman" w:hAnsi="Times New Roman"/>
                  <w:sz w:val="20"/>
                </w:rPr>
                <w:t>DILUTION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9">
              <w:r>
                <w:rPr>
                  <w:rStyle w:val="InternetLink"/>
                  <w:rFonts w:ascii="Times New Roman" w:hAnsi="Times New Roman"/>
                  <w:sz w:val="20"/>
                </w:rPr>
                <w:t>MANAGEMENTS DISCUSSION AND ANALYSIS OF FINANCIAL CONDITION AND RESULTS OF OPERATIONS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0">
              <w:r>
                <w:rPr>
                  <w:rStyle w:val="InternetLink"/>
                  <w:rFonts w:ascii="Times New Roman" w:hAnsi="Times New Roman"/>
                  <w:sz w:val="20"/>
                </w:rPr>
                <w:t>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1">
              <w:r>
                <w:rPr>
                  <w:rStyle w:val="InternetLink"/>
                  <w:rFonts w:ascii="Times New Roman" w:hAnsi="Times New Roman"/>
                  <w:sz w:val="20"/>
                </w:rPr>
                <w:t>MANAGEMENT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2">
              <w:r>
                <w:rPr>
                  <w:rStyle w:val="InternetLink"/>
                  <w:rFonts w:ascii="Times New Roman" w:hAnsi="Times New Roman"/>
                  <w:sz w:val="20"/>
                </w:rPr>
                <w:t>EXECUTIVE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3">
              <w:r>
                <w:rPr>
                  <w:rStyle w:val="InternetLink"/>
                  <w:rFonts w:ascii="Times New Roman" w:hAnsi="Times New Roman"/>
                  <w:sz w:val="20"/>
                </w:rPr>
                <w:t>CERTAIN RELATIONSHIPS AND RELATED PARTY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4">
              <w:r>
                <w:rPr>
                  <w:rStyle w:val="InternetLink"/>
                  <w:rFonts w:ascii="Times New Roman" w:hAnsi="Times New Roman"/>
                  <w:sz w:val="20"/>
                </w:rPr>
                <w:t>PRINCIPAL SHAREHOLDERS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179</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5">
              <w:r>
                <w:rPr>
                  <w:rStyle w:val="InternetLink"/>
                  <w:rFonts w:ascii="Times New Roman" w:hAnsi="Times New Roman"/>
                  <w:sz w:val="20"/>
                </w:rPr>
                <w:t>DESCRIPTION OF CERTAIN INDEBTEDNESS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182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6">
              <w:r>
                <w:rPr>
                  <w:rStyle w:val="InternetLink"/>
                  <w:rFonts w:ascii="Times New Roman" w:hAnsi="Times New Roman"/>
                  <w:sz w:val="20"/>
                </w:rPr>
                <w:t>DESCRIPTION OF SHARE CAPITAL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183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7">
              <w:r>
                <w:rPr>
                  <w:rStyle w:val="InternetLink"/>
                  <w:rFonts w:ascii="Times New Roman" w:hAnsi="Times New Roman"/>
                  <w:sz w:val="20"/>
                </w:rPr>
                <w:t>SHARES ELIGIBLE FOR FUTURE SALE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8">
              <w:r>
                <w:rPr>
                  <w:rStyle w:val="InternetLink"/>
                  <w:rFonts w:ascii="Times New Roman" w:hAnsi="Times New Roman"/>
                  <w:sz w:val="20"/>
                </w:rPr>
                <w:t>BERMUDA COMPANY CONSIDERATIONS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197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19">
              <w:r>
                <w:rPr>
                  <w:rStyle w:val="InternetLink"/>
                  <w:rFonts w:ascii="Times New Roman" w:hAnsi="Times New Roman"/>
                  <w:sz w:val="20"/>
                </w:rPr>
                <w:t>MATERIAL BERMUDA, IRISH AND U.S. FEDERAL INCOME TAX CONSIDERATIONS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206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20">
              <w:r>
                <w:rPr>
                  <w:rStyle w:val="InternetLink"/>
                  <w:rFonts w:ascii="Times New Roman" w:hAnsi="Times New Roman"/>
                  <w:sz w:val="20"/>
                </w:rPr>
                <w:t>UNDERWRITING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216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21">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22">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23">
              <w:r>
                <w:rPr>
                  <w:rStyle w:val="InternetLink"/>
                  <w:rFonts w:ascii="Times New Roman" w:hAnsi="Times New Roman"/>
                  <w:sz w:val="20"/>
                </w:rPr>
                <w:t>WHERE YOU CAN FIND ADDITIONAL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24">
              <w:r>
                <w:rPr>
                  <w:rStyle w:val="InternetLink"/>
                  <w:rFonts w:ascii="Times New Roman" w:hAnsi="Times New Roman"/>
                  <w:sz w:val="20"/>
                </w:rPr>
                <w:t>EXCHANGE CONTROLS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25">
              <w:r>
                <w:rPr>
                  <w:rStyle w:val="InternetLink"/>
                  <w:rFonts w:ascii="Times New Roman" w:hAnsi="Times New Roman"/>
                  <w:sz w:val="20"/>
                </w:rPr>
                <w:t>ENFORCEMENT OF CIVIL LIABILITIES UNDER U.S. FEDERAL SECURITIES LAWS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rom744414_26">
              <w:r>
                <w:rPr>
                  <w:rStyle w:val="InternetLink"/>
                  <w:rFonts w:ascii="Times New Roman" w:hAnsi="Times New Roman"/>
                  <w:sz w:val="20"/>
                </w:rPr>
                <w:t>INDEX TO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in this prospectus and in any free 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the date on the cover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Kestra Medical Technologies, Ltd., the issuer in this offering, was incorporated on May 20, 2021 in connection with this offering to serve as a holding company for its subsidiaries, and it has not engaged in any business or other activities other than those incidental to its formation, the organizational transactions described herein and the preparation of this prospectus and the registration statement of which this prospectus forms a part. Following this offering and the consummation of the organizational transactions, Kestra Medical Technologies, Ltd. will remain a holding company, and it will operate and control all of the business and affairs and consolidate the financial results of West Affum Intermediate Holdings Corp., a Cayman Islands exempted company (West Affum Intermediate Holdings), and its subsidiaries, which will operate our business. Unless stated otherwise or the context otherwise requires, all information in this prospectus reflects the consummation of the organizational transactions described herein, which we refer to collectively as the Organizational Transactions. See Organizational Transactions for a description of the Organizational Transactions and diagrams depicting both our existing structure prior to giving pro forma effect to the Organizational Transactions and our anticipated structure after giving pro forma effect to the Organizational Transactions and this offering. </w:t>
      </w:r>
    </w:p>
    <w:p>
      <w:pPr>
        <w:pStyle w:val="TextBody"/>
        <w:bidi w:val="0"/>
        <w:spacing w:before="240" w:after="0"/>
        <w:jc w:val="left"/>
        <w:rPr>
          <w:rFonts w:ascii="Times New Roman" w:hAnsi="Times New Roman"/>
          <w:sz w:val="20"/>
        </w:rPr>
      </w:pPr>
      <w:r>
        <w:rPr>
          <w:rFonts w:ascii="Times New Roman" w:hAnsi="Times New Roman"/>
          <w:sz w:val="20"/>
        </w:rPr>
        <w:t xml:space="preserve">West Affum Intermediate Holdings was incorporated on August 6, 2020 as a holding company for our principal operating subsidiary, West Affum Holdings Corp. (West Affum Holdings). The condensed consolidated financial statements as of and for the six months ended October 31, 2024 and 2023, and the consolidated financial statements as of and for the fiscal years ended April 30, 2024 and 2023 included elsewhere in this prospectus represent the consolidated assets and liabilities and operations of West Affum Intermediate Holdings and its consolidated subsidiaries. Following the consummation of the Organizational Transactions and this offering, Kestra Medical Technologies, Ltd. will be our top holding company and its consolidated financial statements will be included in our reports filed with the SEC, and West Affum Intermediate Holdings will be the predecessor for financial reporting purposes.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240" w:after="0"/>
        <w:jc w:val="left"/>
        <w:rPr>
          <w:rFonts w:ascii="Times New Roman" w:hAnsi="Times New Roman"/>
          <w:sz w:val="20"/>
        </w:rPr>
      </w:pPr>
      <w:r>
        <w:rPr>
          <w:rFonts w:ascii="Times New Roman" w:hAnsi="Times New Roman"/>
          <w:sz w:val="20"/>
        </w:rPr>
        <w:t xml:space="preserve">Unless stated otherwise or the context otherwise requires the terms we, us, our, our business, our company, the Company and similar references refer: (1) prior to the consummation of the Organizational Transactions, to West Affum Intermediate Holdings and its consolidated subsidiaries and (2) at or following the consummation of the Organizational Transactions, to Kestra Medical Technologies, Ltd.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Certain industry data and market data included in this prospectus were obtained from independent third-party surveys, market research, publicly available information, reports of governmental agencies and industry publications and surveys. Managements estimates presented herein are based upon managements analysis of internally compiled data, independent third-party surveys and industry publications prepared by a number of sources and other publicly available information. We obtained the industry and market data set forth in this prospectus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our knowledge of the industry and market, which we believe to be reasonable. We believe that the information from academic and industry publications, research, surveys and studies conducted by third parties included in this prospectus is reliable.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estimated total addressable market is based on epidemiology data regarding cardiac patient populations with low ejection fractions, payor data on WCD reimbursement rates, the average initial prescription duration for our ASSURE WCD and our estimates of the industry average initial prescription duration for WCDs generally. Our total addressable market in the United States is based on epidemiology data from third-party sources including the American Heart Association and the Heart Failure Society of America and the Medicare reimbursement rate for WCDs as of January 2024 as published in the Centers for Medicare and Medicaid Services DMEPOS Fee Schedule. Our estimated total addressable market outside the United States is based on estimated average reimbursement rates and initial prescription durations for WCDs derived from internally collected data from industry sources and market participants and our internal estimates based on such data, as well as epidemiology data from third-party sources including PubMed, UptoDate, Statistica and the European Society of Cardiology in the following select international markets: Japan, Germany, United Kingdom, France, Italy, Spain, Canada, Poland, Australia, Romania, Netherlands, Belgium, Czech Republic, Sweden, Hungary, Austria, Switzerland and Denmark. These international markets were selected because they have already adopted WCD therapy or have a history of ICD utilization. See Risk FactorsRisks Related to Our BusinessThe estimates of our market and forecasts of market growth included in this prospectus are based on a number of complex assumptions and estimates that may prove to be inaccurate, and even if the markets in which we compete achieve the forecasted growth, our business may not increase at similar rates, if at all. The industry in which we operate and the data related thereto are subject to a high degree of uncertainty and risk due to a variety of factors, including those described in the sections titled Risk Factors and Special Note Regarding Forward-Looking Statements. These and other factors could cause results to differ materially from those expressed in the estimates, publications and reports made by the independent parties and by us. Forecasts and other forward-looking information with respect to the industry, business, market, and other data included in this prospectus are subject to the same qualifications and additional uncertainties regarding the other forward-looking statements in this prospectus. See Special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in the text of this prospectus is contained in independent industry publications. The source of these independent industry publications is provided below. These independent industry publications do not form part of this prospectus and are not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England Journal of Medicine, Wearable Cardioverter-Defibrillator after Myocardial Infarction, September 2018 (the New England Journal of Medicine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Heart Association, Abstract 4141304: Clinical Impact of Ventricular and Supraventricular Arrhythmia Detection with a Novel Wearable Cardioverter Defibrillator, November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Heart Association, Abstract 4141488: Initial Real-World Experience with a Novel Wearable Cardioverter Defibrillator, November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Heart Association, Heart Disease and Stroke Statistics  2023 Update: A Report From the American Heart Association, February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Heart Association, Left Ventricular Ejection Fraction Assessment Among Patients with Acute Myocardial Infarction and Its Association with Hospital Quality of Care and Evidence-Based Therapy Use, September 2012;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Heart Association, Trends in Hospitalizations and Survival of Acute Decompensated Heart Failure in Four US Communities (2005-2014), July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Heart Association, 2024 Heart Disease and Stroke Statistics: A Report of US and Global Data From the American Heart Association, February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European Heart Journal, 2016 ESC Guidelines for the Diagnosis and Treatment of Acute and Chronic Heart Failure, May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Heart Failure Society of America, HF Stats 2024: Heart Failure Epidemiology and Outcomes Statistics, September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JAMA, Heart Failure with Reduced Ejection FractionA Review, August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Journal of Cardiovascular Electrophysiology, Impact of Wearable Cardioverter-Defibrillator Compliance on Outcomes in the VEST Trial: As-Treated and Per-Protocol Analyses, February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Journal of Cardiovascular Electrophysiology, A Wearable Cardioverter Defibrillator with a Low False Alarm Rate, January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Journal of Cardiology, The Sudden Death Following Hospitalization for Heart Failure with Reduced Ejection Fraction (From the Everest Trial), July 2018 (the American Journal of Cardiology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Journal of Interventional Cardiac Electrophysiology, A Novel Artificial Intelligence Based Algorithm to Reduce Wearable Cardioverter-Defibrillator Alarms, February 2023 (the Journal of Interventional Cardiac Electrophysiology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Journal of Cardiac Failure, HF STATS 2024: Heart Failure Epidemiology and Outcomes Statistics An Updated 2024 Report from the Heart Failure Society of America, September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Nature Reviews Cardiology, Epidemiology of Heart Failure with Preserved Ejection Fraction, May 2017;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PLOS ONE, Defibrillation effectiveness and safety of the shock waveform used in a contemporary wearable cardioverter defibrillator: Results from animal and human studies, March 14,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SERVICE MARKS, 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references to trademarks and service marks for which we have obtained or applied for registration, such as ASSURE, ASSURE ASSIST, CARDIAC RECOVERY SYSTEM, KESTRA and KESTRA CARESTATION. This prospectus also contains trade names, trademarks and service marks of other companies, which are the property of their respective owners.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may appear without the ® or  symbols, but such references are not intended to indicate, in any way, that we will not assert, to the fullest extent under applicable law, our rights or the rights of the applicable licensor to these trademarks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rom744414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and does not contain all of the information that you should consider in making your investment decision. Before investing in our common shares, you should carefully read this entire prospectus, including our consolidated financial statements, our condensed consolidated financial statements and the related notes thereto included elsewhere in this prospectus and the information set forth in the sections titled Risk Factors and Managements Discussion and Analysis of Financial Condition and Results of Operations. This summary contains forward-looking statements that involve risks and uncertainties.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wearable cardioverter defibrillator (WCD) used to protect patients at an elevated risk of sudden cardiac arrest (SCA), a major public health problem that accounts for approximately 50% of all cardiovascular deaths in the U.S. The ASSURE WCD automatically monitors elevated risk patients and, if needed, delivers a defibrillation shock to return the patients heart to normal rhythm. The ASSURE WCD was purpose-built to enhance patient comfort and compliance and directly address the key barriers to adoption associated with the only other commercially available WCD. We believe the ASSURE WCD offers significant clinical and functional advantages, including greater patient compliance as a result of a major reduction in false alarms and enhanced comfort and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addresses serious unmet needs in the cardiac patient population and has the potential to disrupt and grow the market which has been limited to a single solution for more than 20 years. As of January 31, 2025, our system is actively being prescribed by more than 550 hospitals across the U.S., representing approximately 20% of WCD prescribing hospitals in the U.S., and has been worn by over 17,000 patients since it was fully commercially launched. In our top 50 hospitals, we believe we have successfully captured approximately 45% of the currently available prescriptions based on company-sourced data on all hospitals that we serve in the U.S. and the percentage of WCD filled prescriptions at those hospitals that are for our ASSURE WCD.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SCA is a life-threatening emergency characterized by the abrupt cessation of the heartbeat caused by an electrical malfunction in the heart. This is typically triggered by ventricular arrhythmias, such as ventricular fibrillation (VF), and leads to a loss of consciousness and potentially death within minutes if not promptly treated. The American Heart Association (AHA) estimates that SCA causes approximately 436,000 deaths per year, making it the third leading cause of death in the U.S. Defibrillation, or an electrical shock, is the only way to restore a fibrillating heart to a normal rhythm. Each minute of delay in restoring the heart to a normal rhythm reduces a patients chance of survival by 7% to 10%. The average time for Emergency Medical Services (EMS) arrival is 7 minutes from the time of a 911 call, and often longer in rural communities. The most common location of a SCA in adults is at a home or residence, representing approximately 73% of SCAs. In addition, approximately 50% of all SCAs are unwitnessed.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WCD is a wearable, non-invasive miniaturized automated external defibrillator and is worn underneath regular clothing. The device continuously monitors a patients heart rhythm and is capable of delivering a defibrillation shock. Wires connect electrodes inside the garment to the monitor, which is carried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 small pack or shoulder bag. The electrodes continuously acquire a patients heart rate and rhythm for evaluation by the automated external defibrillator. If the monitor detects a potentially life-threatening arrhythmia, the WCD first alerts the patient via an audible alarm and then administers a shock, if needed.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over 20 years, WCDs have been used to protect patients at elevated risk of SCA. However, until the ASSURE WCD received Food and Drug Administration (FDA) approval in July of 2021, the market was limited to a single solution. Since the approval of the first WCD in 2001, global WCD revenues have grown to $1.3 billion in 2023, with approximately 85% of the revenues generated in the U.S based on our analysis of third-party claims data and estimated average WCD wear prescription lengths and average reimbursement rates in the U.S. and in select international markets derived from industry data and internal estimates. The volume of patients prescribed a WCD in the U.S. grew at roughly 6% annually between 2021 and 2023, and we expect WCD revenues to continue growing.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Despite being proven as safe and effective in treating dangerous cardiac rhythms when worn, WCD therapy remains underutilized, reaching just 14% of the eligible U.S. patient population in 2023 based on data on patients indicated for a WCD and WCD prescription data from industry sources. We believe that the low penetration of WCD therapy is largely due to the limitations of the incumbent commercially available device. In feedback we have collected through directly engaging with patients and providers and customer feedback on public platforms, commonly cited reasons for patients or providers failing to use the competitor device include high false alarm frequency, poor wearability and patient discomfort, a unisex-only garment, low utility data and limited connectivity with patients. In the U.S., we estimate that there are approximately 800,000 cardiac patients each year who have experienced a myocardial infarction (MI) or are diagnosed with heart failure and have low Left Ventricular Ejection Fraction (LVEF), therefore making them eligible for WCD therapy. Additionally, approximately 50,000 patients each year either have documented ventricular tachycardia (VT) or VF, an inherited genetic condition, or have had their implantable cardioverter defibrillators (ICD) temporarily explanted, and are also indicated for WCDs. Based on an average WCD wear prescription length of 3.4 months per patient and an average Medicare reimbursement rate of $3,436 per patient per month, we believe this represents an approximately $10 billion annual addressable market.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For a description of the international markets covered by this estimated market opportunity, see Industry and Market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ASSURE WCD is the next generation of WCD therapy, delivering a safe and effective solution for patients with a design that enhances patient comfort and compliance. In addition to the ASSURE WCD, the various digital solutions and services of our Cardiac Recovery System platform include the ASSURE patient application, Kestra CareStation remote patient data platform, Heart Alert Services, and ASSURE Assist services. The ASSURE patient application engages patients with real-time mobile updates to promote compliance, while the Kestra CareStation remote patient data platform equips healthcare providers with actionable insights to support timely and informed care decisions. Heart Alert Services and ASSURE Assist services work together to enhance safety and are designed to provide critical alerts to healthcare providers for significant arrhythmias and notify emergency services when therapy is administered. This post-therapy EMS support is critical as a range of injuries, such as head injuries, soft tissue damage and bone fractures, can result from falling down after a SCA. In addition, the ASSURE wearable ECG as part of our Cardiac Recovery System platform provides monitoring and connectivity for patients no longer indicated for a WCD but who still require ongoing support while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heart continues to remodel. We believe we offer the most comprehensive and cohesive platform, with digital solutions and services that are seamlessly integrated with our ASSURE WCD, meaningfully differentiating our Cardiac Recovery System platform from the only other commercially available WCD.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building a body of clinical evidence supporting the safety, efficacy, and benefits of the ASSURE WCD, with six publications completed to date. This growing portfolio includes our pivotal trialsthe ASSURE WCD Clinical EvaluationDetection and Safety Study (ACE-DETECT) and the ASSURE WCD Clinical EvaluationConversion Efficacy Study (ACE-CONVERT)which served as the basis for our premarket approval (PMA). In addition, we are conducting the ASSURE WCD Clinical EvaluationPost Approval Study (ACE-PAS) as part of a broader ongoing ASSURE Patient Registry. All patients prescribed the ASSURE WCD in the United States after August 5, 2022 are included in the Registry. As of January 31, 2025, our ongoing registry has enrolled over 17,000 patients, and its findings further validate the results of ACE-DETECT and ACE-CONVERT. Our most recent FDA submission from ACE-PAS from July 2024, which includes data from 5,929 patients, reported first shock conversion efficacy of approximately 96%, a low false alarm rate with only 6% of our patients experiencing a false alarm, compared to 46% for the competitors device, and a median daily use of 23.2 hours. These results underscore the ASSURE WCDs competitive advantages in wearability, usability, and patient compliance, providing strong support for continued adoption. We believe this collection of real-world evidence will generate additional publications, continue to increase awareness of WCDs as a proven therapy for elevated risk cardiac patients and further demonstrate the clinical differentiation of our ASSURE WCD.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made material investments in infrastructure to support rapid growth and scalability, specifically in our commercial organization, distribution and supply chain capabilities, as well as revenue cycle management capabilities. In the U.S., we have built a commercial sales team of approximately 70 direct sales representatives and more than 40 sales and clinical support professionals with deep expertise in cardiac rhythm management and established relationships in the cardiology and electrophysiology fields. This team is responsible for developing sales territory business plans, targeting and opening new accounts, and processing prescriptions of our ASSURE WCD. Our direct sales team is supported by a contracted team of over 250 ASSURE Patient Specialists (APSs) who assist patients with fitting and training. At fitting, we deliver our ASSURE WCD from our distribution network to the patient. We utilize a lease business model, and when a patients wear time has concluded, the device is returned for reprocessing and reintroduction into the distribution network. To support our growth, we have developed a highly scalable supply chain in collaboration with experienced, top-tier medical technology suppliers. Our substantial investment in a fleet of devices, each with a capacity for approximately three patient wears per year, are reprocessed through efficient reconditioning, which enables the business to scale with an attractive unit economic profile. Finally, our revenue cycle management capabilities streamline reimbursement processes by ensuring claims are accurately prepared and submitted according to individual payor requirements, facilitating timely collections. These capabilities are a critical asset in driving operational efficiency and supporting both patient and prescriber satisfaction. We believe our significant investments in infrastructure create a high barrier to entry that will help us protect and grow our market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experienced rapid growth since our full commercial launch, expanding our headcount from 66 team members in October 2020 to over 300 team members as of January 31, 2025. We generated revenue of $27.5 million for the six months ended October 31, 2024, compared to revenue of $9.5 million for the six months ended October 31, 2023, representing 190% quarter-over-quarter growth. For the fiscal year ended April 30, 2024, we generated revenue of $27.8 million, compared to revenue of $7.6 million for the fiscal year ended April 30, 2023, representing 265% year-over-year growth. In the six months ended October 31, 2024, we recognized a net loss of $40.9 million, compared to a net loss of $50.2 million for the six months ended October 31, 2023. For the fiscal year ended April 30, 2024, we recognized a net loss of $94.1 million, compared to a net loss of $84.2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fiscal year ended April 30, 2023. As of October 31, 2024, April 30, 2024 and April 30, 2023, we had an accumulated deficit of $446.7 million, $406.4 million and $312.3 million, respectively.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Market Overview and Opportunity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of Sudden Cardiac Arrest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SCA is a major public health problem and accounts for approximately 50% of all cardiovascular deaths in the U.S. and commonly occurs in individuals with heart disease or those experiencing cardiac events. Several research studies indicate that low LVEF may be a sign of heart disease and is one of the greatest risk factors for SCA. Normal LVEF is typically between 50% and 70%. This means that during each heartbeat, 50% to 70% of the blood in the left ventricle is pumped out to the body. Low LVEF is typically considered 40% or less. According to the New England Journal of Medicine Study, patients with an LVEF of 30% or less were two times more likely to suffer from SCA compared to patients with an LVEF of more than 40%. The American Journal of Cardiology Study showed that the absolute risk of SCA is highest during the early period following a cardiac event, especially within the first 30 days. In this same study, each 5% decrease in LVEF was associated with a 21% increase in the risk of SCA during the first 30 days after an MI.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WCD Therapy for Patients at Risk of SCA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There are three main types of defibrillators: implantable cardioverter defibrillators (ICD), external defibrillators (both manual and automated), and WCDs. An ICD is a small battery-powered device surgically placed in the chest that continuously checks the heartbeat and delivers electric shocks, when needed, to restore a regular heart rhythm. An external defibrillator is a portable device that uses two adhesive pads placed on the patients skin by a trained professional or a bystander to deliver an electric shock through the chest to the heart to restore a normal rhythm. An automated external defibrillator automatically detects a patients heart rhythm and delivers a shock while a manual external defibrillator requires the user to select a specific shock energy to be delivered to the patient. A WCD is an external wearable device that continuously monitors a patients heart rhythm. If it detects a potentially life-threatening arrhythmia, the WCD alerts the patient and, if necessary, automatically delivers a defibrillation shock to restore a normal heart rhythm.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WCDs are typically prescribed to patients immediately following an MI or heart failure diagnosis and serve as a bridge to recovery between the cardiac event and a longer-term treatment regimen. During this period, healthcare providers will optimize the patients medical therapy while also waiting to see if the patients LVEF improves. The expected wear duration of the WCD varies based on the patient indication, with the majority of our patients being prescribed the WCD for three months or longer.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Limitations of the Legacy, Commercially Available WCD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WCD is indicated for use in patients who are at risk for SCA and are not candidates for, or refuse, an ICD. However, limitations of the only other commercially available WCD, such as patient comfort and false alarm rate, as well as gaps in awareness by healthcare providers of its broader diagnostic utility have led to underutilization of the therapy. Many indicated patients do not receive a prescription and some choose not to wear a WCD. Patients who choose not to wear a WCD are often left reliant on first responders or EMS in the event of a SCA. This reliance poses a significant risk, as only 16% of sudden cardiac events occur in public places where an automated external defibrillator might be available according to the American Heart Association. Based on data from the American Medical Association, the average time for EMS arrival is 7 minutes from the time of a 911 call, and often longer in rural communities. During this critical time, survival rates decline by 7% to 10% for every minute that passes.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Market Opportunity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the approval of the first WCD in 2001, global WCD revenues have grown significantly, reaching over $1.3 billion in 2023, with approximately 85% of the revenues coming from the U.S. based on our analysis of third-party claims data and estimated average WCD wear prescription lengths and average reimbursement rates in the U.S. and in select international markets derived from industry data and internal estimates. Between 2021 and 2023, the volume of patients prescribed a WCD in the U.S. grew roughly 6% annually. We expect further penetration and growth of the WCD market, driven by increased awareness and education about WCD therapy, the expanded launch of our innovative and comprehensive solution, and the rapidly growing heart failure population, which will likely expand the number of patients at elevated risk of SCA and indicated for a WCD. Despite being available for over 20 years and proven effective in treating dangerous cardiac rhythms when worn by patients, the therapy has reached just 14% of eligible U.S. patients in 2023 based on data on patients indicated for a WCD and WCD prescription data from industry sources, highlighting a significant opportunity for growth. We attribute this low penetration to poor patient compliance, driven by the limitations of our competitors device. The ASSURE WCD, as part of our broader Cardiac Recovery System platform, is designed to prioritize patient comfort and compliance, addressing common barriers to acceptance experienced by the only other commercially available WCD.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WCD is indicated for use in patients who are at risk for SCA and are not candidates for, or refuse, an ICD. Medical guidelines recommend WCD use in those patients with a low LVEF and a recent MI, recent revascularization procedure or newly diagnosed nonischemic cardiomyopathy with heart failure symptoms. In addition, patients with documented VT/VF or an inherited genetic condition that places them at high risk for SCA, or patients who have had their ICD temporarily explanted are also indicated for WCDs. According to the AHA, approximately 1.8 million people in the U.S. each year experience a serious cardiac event, such as an MI, or are diagnosed with heart failure. Among these patients, around 800,000 patients have low LVEF, placing them at an elevated risk of SCA. Additionally, approximately 50,000 patients each year either have documented VT or VF, an inherited genetic condition, or have had their ICD temporarily explanted. Based on the foregoing annual incidences, the current Medicare reimbursement rates of $3,436 per patient per month as published in the Centers for Medicare and Medicaid Services (CMS) DMEPOS Fee Schedule, and our average initial WCD prescription length of 3.4 months, we believe the total, annual addressable market in the U.S. for the ASSURE WCD is approximately $10 billion.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our current commercial focus is on the U.S., approximately 15% of the global WCD revenues in 2023 were generated internationally, representing approximately $200 million, and that has primarily been concentrated in western Europe where the market has been most developed, as well as in Japan.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For a description of the international markets covered by this estimated market opportunity, see Industry and Market Data. As of the date of this prospectus,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selected international countries. We anticipate Western Europe to be our initial focus due to favorable market dynamics and our goal is to obtain regulatory approvals to begin distributing our ASSURE WCD in certain markets in Western Europe within the next three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Solution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ASSURE WCD is the cornerstone of our Cardiac Recovery System platform, a robust and extensible system integrating therapy, monitoring, and digital health solutions that represents the future of cardiac care. As a next generation of WCD therapy, the ASSURE WCD delivers a safe and effective solution for patients and was intentionally designed to enhance patient comfort and compliance and successfully resolve the key barriers to adoption associated with the only other commercially available WCD. The ASSURE WCD received FDA approval on July 27, 2021 for adult patients at elevated risk of SCA who are not candidates for, or decline, an ICD. As of January 31, 2025, the ASSURE WCD is actively being prescribed by more than 550 hospitals and has been worn by over 17,000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the ASSURE WCD, our Cardiac Recovery System platform includes fully integrated digital solutions and services such as the ASSURE patient application, Kestra CareStation remote patient data platform, Heart Alert Services, and ASSURE Assist services, as well as the recently launched ASSURE wearable ECG. Cleared by the FDA on May 7, 2024, the ASSURE wearable ECG provides extended monitoring and valuable insights into a patients heart function after they are no longer indicated for a WCD. This non-therapeutic platform supports cardiac recovery monitoring using many of the same familiar features as the ASSURE WCD, ensuring continuity and ease of use for both patients and clinicians.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15000" cy="124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124777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Key Benefits of Our Solution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Cardiac Recovery System platform offers notable benefits and an improved user-experience that differentiates it from the only other commercially available WCD. These benefits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2"/>
        <w:gridCol w:w="101"/>
        <w:gridCol w:w="8984"/>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Modern and advanced design to improve comfort, performance and maximize wearability.</w:t>
            </w:r>
            <w:r>
              <w:rPr>
                <w:rFonts w:ascii="Times New Roman" w:hAnsi="Times New Roman"/>
                <w:sz w:val="20"/>
              </w:rPr>
              <w:t xml:space="preserve"> The design of our garments incorporates advancements in electronics, mobile technology, signal processing techniques, and fabrics. The garments were developed with an athletic and sportswear designer and are tailored for body inclusivity, offering two styles and a wide range of sizes. We believe that having separate, gender-specific designs is particularly important given women make up approximately 40% of SCA patients. Overall wearability is further supported by the results of our post-approval study which demonstrates a median wear time of greater than 23 hours per day. In addition to improving comfort and wearability, our unique garment design incorporates cushioned electrodes that are embedded in the fabric to improve electrode contact and, ultimately, improve electrocardiogram (ECG) signal quality.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High fidelity ECG leading to fewer false alarms.</w:t>
            </w:r>
            <w:r>
              <w:rPr>
                <w:rFonts w:ascii="Times New Roman" w:hAnsi="Times New Roman"/>
                <w:sz w:val="20"/>
              </w:rPr>
              <w:t xml:space="preserve"> The ASSURE WCD is designed to minimize false alarms. The overall level of noise is reduced through use of resistive ECG electrodes that are cushioned and securely bonded to the fabric, custom shielded cables, and isolation circuitry. The ASSURE WCD also utilizes four channels of high-quality ECG, combined with Adaptive Patient Intelligence (API), a proprietary technology that adapts to the patient heart rhythm to filter out artifacts and improve performance even in a noisy environment. According to the Journal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3"/>
        <w:gridCol w:w="8982"/>
      </w:tblGrid>
      <w:tr>
        <w:trPr/>
        <w:tc>
          <w:tcPr>
            <w:tcW w:w="1223" w:type="dxa"/>
            <w:tcBorders/>
            <w:vAlign w:val="center"/>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Interventional Cardiac Electrophysiology Study, as a result of these features, only 6% of our patients experience a false alarm, compared to 46% for the competitors device. Reduction in false alarms may lead to lower patient anxiety, improved patient satisfaction and increased patient compliance.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Product innovations and integrated digital solutions and services supporting the patient throughout the cardiac care continuum. </w:t>
            </w:r>
            <w:r>
              <w:rPr>
                <w:rFonts w:ascii="Times New Roman" w:hAnsi="Times New Roman"/>
                <w:sz w:val="20"/>
              </w:rPr>
              <w:t xml:space="preserve">Our Cardiac Recovery System platform represents a comprehensive suite of proprietary wearable and fully integrated digital solutions and services for monitoring, diagnosing, and protecting patients through their cardiac recovery journey. We believe our Cardiac Recovery System platform represents a competitive advantage, with the goal of ultimately improving the prescriber and patient experience, maximizing patient comfort and compliance, and increasing adoption of our system. In addition, our Cardiac Recovery System platforms capabilities allow healthcare providers to identify other clinically significant arrhythmias.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Improved energy delivery to enhance efficacy and safety.</w:t>
            </w:r>
            <w:r>
              <w:rPr>
                <w:rFonts w:ascii="Times New Roman" w:hAnsi="Times New Roman"/>
                <w:sz w:val="20"/>
              </w:rPr>
              <w:t xml:space="preserve"> The ASSURE WCD delivers a 170 joule shock to better serve patients with higher defibrillation thresholds, compared to the competitor device which delivers a 150 joule shock. In addition, our system has a minimum defibrillation capacity of 25 shocks, providing a significant safety buffer for patients experiencing multiple cardiac events within a short time period, such as a VT storm, where a patient experiences multiple episodes of sustained VT within a short period of time.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Success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the continued growth of our company will be driven by the following success factors: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Large, growing, and underpenetrated WCD market with a single competitor;</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Highly innovative Cardiac Recovery System platform designed to protect patients from SCA and improve patient compliance and healthcare provider adoption;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Comprehensive and fully integrated suite of mission critical digital solutions and services for driving patient and healthcare provider engagement;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investments in infrastructure to support rapid growth and scale;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Established reimbursement and favorable payor coverage;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Strong and compelling body of clinical evidence;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Broad research and development capabilities and a robust intellectual property portfolio;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Highly experienced management team and board with proven commercial growth success.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Growth Strategies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fully achieve our mission of providing innovative, intuitive medical technologies to protect and support at-risk patients, we intend to pursue the following growth strategies: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capture share of the current WCD prescriptions in the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adoption of our Cardiac Recovery System platform in the U.S. to increase the penetration of the U.S. total addressable WCD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upon our strong base of clinical evidence;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our payor engagement to broaden coverage and increase reimbursement;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Innovate our system and bolster our digital healthcare platform and data management capabilities;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Drive gross margin expansion and operating leverage;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 expansion in international markets;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Strategically pursue adjacent markets with new products offerings and differentiated services. </w:t>
            </w:r>
          </w:p>
        </w:tc>
      </w:tr>
    </w:tbl>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estimated selected financial results as of and for the three months ended January 31,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Included below are certain preliminary estimated selected unaudited financial results of West Affum Intermediate Holdings as of and for the three months ended January 31, 2025 and actual unaudited financial results for the three months ended January 31, 2024. The results as of and for the three months ended January 31, 2025 are preliminary and subject to change, and there is a possibility that our actual results may differ from these preliminary estimates.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preliminary financial data included in this prospectus has been prepared by, and is the responsibility of, our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 These preliminary estimated results should not be viewed as a substitute for financial statements prepared in accordance with U.S. generally accepted accounting principles. Moreover, this data has been prepared solely on the basis of currently available information by, and are the responsibility of, management. It is possible that we or our independent registered public accounting firm may identify items that would require us to make adjustments to the preliminary estimates set forth below as we complete our financial statements and that our actual results may differ from these preliminary estimates. Accordingly, we have provided ranges, rather than specific amounts, for the preliminary estimated results described below. Except as required by law, we undertake no obligation to update or supplement the preliminary estimated results below until we release our results of operations as of and for the three months ended January 31, 2025, which will not occur until after this offering is completed. These preliminary estimates are not necessarily indicative of any future period and should be read together with Risk Factors, Special Note Regarding Forward-Looking Statements, Managements Discussion and Analysis of Financial Condition and Results of Operations, our consolidated financial statements, and our condensed consolidated financial statements and related notes thereto included elsewhere in this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639"/>
        <w:gridCol w:w="355"/>
        <w:gridCol w:w="140"/>
        <w:gridCol w:w="777"/>
        <w:gridCol w:w="276"/>
        <w:gridCol w:w="309"/>
        <w:gridCol w:w="140"/>
        <w:gridCol w:w="777"/>
        <w:gridCol w:w="276"/>
        <w:gridCol w:w="309"/>
        <w:gridCol w:w="141"/>
        <w:gridCol w:w="783"/>
        <w:gridCol w:w="283"/>
      </w:tblGrid>
      <w:tr>
        <w:trPr/>
        <w:tc>
          <w:tcPr>
            <w:tcW w:w="5639"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639"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928" w:type="dxa"/>
            <w:gridSpan w:val="10"/>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Three Months Ended January 31,</w:t>
            </w:r>
          </w:p>
        </w:tc>
        <w:tc>
          <w:tcPr>
            <w:tcW w:w="283" w:type="dxa"/>
            <w:tcBorders/>
            <w:vAlign w:val="bottom"/>
          </w:tcPr>
          <w:p>
            <w:pPr>
              <w:pStyle w:val="TableContents"/>
              <w:bidi w:val="0"/>
              <w:spacing w:before="0" w:after="283"/>
              <w:jc w:val="left"/>
              <w:rPr/>
            </w:pPr>
            <w:r>
              <w:rPr/>
              <w:t> </w:t>
            </w:r>
          </w:p>
        </w:tc>
      </w:tr>
      <w:tr>
        <w:trPr/>
        <w:tc>
          <w:tcPr>
            <w:tcW w:w="5639"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419"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Estimated 2025</w:t>
            </w:r>
          </w:p>
        </w:tc>
        <w:tc>
          <w:tcPr>
            <w:tcW w:w="27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2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Actual 2024</w:t>
            </w:r>
          </w:p>
        </w:tc>
        <w:tc>
          <w:tcPr>
            <w:tcW w:w="283" w:type="dxa"/>
            <w:tcBorders/>
            <w:vAlign w:val="bottom"/>
          </w:tcPr>
          <w:p>
            <w:pPr>
              <w:pStyle w:val="TableContents"/>
              <w:bidi w:val="0"/>
              <w:spacing w:before="0" w:after="283"/>
              <w:jc w:val="left"/>
              <w:rPr/>
            </w:pPr>
            <w:r>
              <w:rPr/>
              <w:t> </w:t>
            </w:r>
          </w:p>
        </w:tc>
      </w:tr>
      <w:tr>
        <w:trPr/>
        <w:tc>
          <w:tcPr>
            <w:tcW w:w="5639"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2025 (Low)</w:t>
            </w:r>
          </w:p>
        </w:tc>
        <w:tc>
          <w:tcPr>
            <w:tcW w:w="27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2025 (High)</w:t>
            </w:r>
          </w:p>
        </w:tc>
        <w:tc>
          <w:tcPr>
            <w:tcW w:w="27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24" w:type="dxa"/>
            <w:gridSpan w:val="2"/>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r>
      <w:tr>
        <w:trPr/>
        <w:tc>
          <w:tcPr>
            <w:tcW w:w="5639" w:type="dxa"/>
            <w:tcBorders/>
            <w:vAlign w:val="bottom"/>
          </w:tcPr>
          <w:p>
            <w:pPr>
              <w:pStyle w:val="TableContents"/>
              <w:bidi w:val="0"/>
              <w:spacing w:before="0" w:after="283"/>
              <w:jc w:val="left"/>
              <w:rPr>
                <w:b/>
              </w:rPr>
            </w:pPr>
            <w:r>
              <w:rPr>
                <w:b/>
              </w:rPr>
              <w:t>(in thousands, except percentages)</w:t>
            </w:r>
          </w:p>
        </w:tc>
        <w:tc>
          <w:tcPr>
            <w:tcW w:w="355" w:type="dxa"/>
            <w:tcBorders/>
            <w:vAlign w:val="bottom"/>
          </w:tcPr>
          <w:p>
            <w:pPr>
              <w:pStyle w:val="TableContents"/>
              <w:bidi w:val="0"/>
              <w:spacing w:before="0" w:after="283"/>
              <w:jc w:val="left"/>
              <w:rPr/>
            </w:pPr>
            <w:r>
              <w:rPr/>
              <w:t>  </w:t>
            </w:r>
          </w:p>
        </w:tc>
        <w:tc>
          <w:tcPr>
            <w:tcW w:w="3928" w:type="dxa"/>
            <w:gridSpan w:val="10"/>
            <w:tcBorders/>
            <w:vAlign w:val="bottom"/>
          </w:tcPr>
          <w:p>
            <w:pPr>
              <w:pStyle w:val="TableContents"/>
              <w:bidi w:val="0"/>
              <w:spacing w:before="0" w:after="283"/>
              <w:jc w:val="center"/>
              <w:rPr>
                <w:b/>
              </w:rPr>
            </w:pPr>
            <w:r>
              <w:rPr>
                <w:b/>
              </w:rPr>
              <w:t>(unaudited)</w:t>
            </w:r>
          </w:p>
        </w:tc>
        <w:tc>
          <w:tcPr>
            <w:tcW w:w="283" w:type="dxa"/>
            <w:tcBorders/>
            <w:vAlign w:val="bottom"/>
          </w:tcPr>
          <w:p>
            <w:pPr>
              <w:pStyle w:val="TableContents"/>
              <w:bidi w:val="0"/>
              <w:spacing w:before="0" w:after="283"/>
              <w:jc w:val="left"/>
              <w:rPr/>
            </w:pPr>
            <w:r>
              <w:rPr/>
              <w:t> </w:t>
            </w:r>
          </w:p>
        </w:tc>
      </w:tr>
      <w:tr>
        <w:trPr/>
        <w:tc>
          <w:tcPr>
            <w:tcW w:w="5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Statement of Operations and Comprehensive Loss Data:</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5639"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14,500</w:t>
            </w:r>
          </w:p>
        </w:tc>
        <w:tc>
          <w:tcPr>
            <w:tcW w:w="27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15,500</w:t>
            </w:r>
          </w:p>
        </w:tc>
        <w:tc>
          <w:tcPr>
            <w:tcW w:w="27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83" w:type="dxa"/>
            <w:tcBorders/>
            <w:vAlign w:val="bottom"/>
          </w:tcPr>
          <w:p>
            <w:pPr>
              <w:pStyle w:val="TableContents"/>
              <w:bidi w:val="0"/>
              <w:spacing w:before="0" w:after="283"/>
              <w:jc w:val="right"/>
              <w:rPr/>
            </w:pPr>
            <w:r>
              <w:rPr/>
              <w:t>8,277</w:t>
            </w:r>
          </w:p>
        </w:tc>
        <w:tc>
          <w:tcPr>
            <w:tcW w:w="283" w:type="dxa"/>
            <w:tcBorders/>
            <w:vAlign w:val="bottom"/>
          </w:tcPr>
          <w:p>
            <w:pPr>
              <w:pStyle w:val="TableContents"/>
              <w:bidi w:val="0"/>
              <w:spacing w:before="0" w:after="283"/>
              <w:jc w:val="left"/>
              <w:rPr/>
            </w:pPr>
            <w:r>
              <w:rPr/>
              <w:t> </w:t>
            </w:r>
          </w:p>
        </w:tc>
      </w:tr>
      <w:tr>
        <w:trPr/>
        <w:tc>
          <w:tcPr>
            <w:tcW w:w="5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6,180</w:t>
            </w:r>
          </w:p>
        </w:tc>
        <w:tc>
          <w:tcPr>
            <w:tcW w:w="27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6,750</w:t>
            </w:r>
          </w:p>
        </w:tc>
        <w:tc>
          <w:tcPr>
            <w:tcW w:w="27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880</w:t>
            </w:r>
          </w:p>
        </w:tc>
        <w:tc>
          <w:tcPr>
            <w:tcW w:w="283" w:type="dxa"/>
            <w:tcBorders/>
            <w:shd w:fill="CCEEFF" w:val="clear"/>
            <w:vAlign w:val="bottom"/>
          </w:tcPr>
          <w:p>
            <w:pPr>
              <w:pStyle w:val="TableContents"/>
              <w:bidi w:val="0"/>
              <w:spacing w:before="0" w:after="283"/>
              <w:jc w:val="left"/>
              <w:rPr/>
            </w:pPr>
            <w:r>
              <w:rPr/>
              <w:t> </w:t>
            </w:r>
          </w:p>
        </w:tc>
      </w:tr>
      <w:tr>
        <w:trPr/>
        <w:tc>
          <w:tcPr>
            <w:tcW w:w="5639"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 (as a percentage of revenue)</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42.6</w:t>
            </w:r>
          </w:p>
        </w:tc>
        <w:tc>
          <w:tcPr>
            <w:tcW w:w="27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43.5</w:t>
            </w:r>
          </w:p>
        </w:tc>
        <w:tc>
          <w:tcPr>
            <w:tcW w:w="27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10.6</w:t>
            </w:r>
          </w:p>
        </w:tc>
        <w:tc>
          <w:tcPr>
            <w:tcW w:w="283" w:type="dxa"/>
            <w:tcBorders/>
            <w:vAlign w:val="bottom"/>
          </w:tcPr>
          <w:p>
            <w:pPr>
              <w:pStyle w:val="TableContents"/>
              <w:bidi w:val="0"/>
              <w:spacing w:before="0" w:after="283"/>
              <w:jc w:val="left"/>
              <w:rPr/>
            </w:pPr>
            <w:r>
              <w:rPr/>
              <w:t>% </w:t>
            </w:r>
          </w:p>
        </w:tc>
      </w:tr>
      <w:tr>
        <w:trPr/>
        <w:tc>
          <w:tcPr>
            <w:tcW w:w="5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(20,800</w:t>
            </w:r>
          </w:p>
        </w:tc>
        <w:tc>
          <w:tcPr>
            <w:tcW w:w="27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(20,400</w:t>
            </w:r>
          </w:p>
        </w:tc>
        <w:tc>
          <w:tcPr>
            <w:tcW w:w="27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(19,946</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Revenue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three months ended January 31, 2025, we expect preliminary unaudited revenue to be between $14.5 million and $15.5 million, compared to revenue of $8.3 million for the three months ended January 31, 2024, an increase of 75% to 87%. The estimated increase in revenue was primarily driven by an increase in the number of patients using our product and continued increase in reimbursement realization, while reimbursement rates remained largely flat.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Gross margin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three months ended January 31, 2025, we expect preliminary unaudited gross margin to be between $6.2 million and $6.8 million, compared to gross margin of $0.9 million for the three months ended January 31, 2024, an increase of 602% to 667%. The estimated increase in gross margin was primarily due to growth in revenue driven by the increase in number of patients and reimbursement realization and continued decrease in cost per patient due to further improvements in the utilization of our rental pool of medical equipment and lower disposable costs driven by volume and manufacturing cost improvement programs.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Gross margin as a percentage of revenue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three months ended January 31, 2025, we expect gross margin as a percentage of revenue to be between 42.6% and 43.5%, compared to gross margin as a percentage of revenue of 10.6% for the three months ended January 31, 2024. The estimated improvement in gross margin as a percentage of revenue was primarily due to growth in revenue driven by the increase in number of patients and reimbursement realization and continued decrease in cost per patient driven by further improvements in the utilization of our rental pool of medical equipment and lower disposable costs driven by volume and manufacturing cost improvement programs.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Loss from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three months ended January 31, 2025, we expect loss from operations to be between $20.4 million and $20.8 million, compared to loss from operations of $19.9 million for the three months ended January 31, 2024, an increase between 2% and 4%. The estimated change in loss from operations was relatively flat. While revenue grew between 75% and 87%, this increase was offset by increases in costs related to additional employee headcount to expand the commercial organization and support functions and expenses related to legal and professional services in connection with this offering.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Cash and cash equivalents, and long-term debt, net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January 31, 2025, we expect cash and cash equivalents to be approximately $54.4 million and long-term debt, net to be approximately $43.7 million.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investment in our common shares involves substantial risks and uncertainties that may adversely affect our business, financial condition, results of operations and prospects. Before deciding to invest in our common shares, you should carefully consider all of the risks, uncertainties and challenges described in the section of this prospectus captioned Risk Factors and all of the other information in this prospectus. These risks, uncertainties and challenges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which may make it difficult for you to evaluate our current business and its likelihood of success and viability. If we are unable to manage our business and any fluctuations in our business effectively, our business and growth prospects could be materially and adversely affected;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net losses, and there is no assurance as to when we will achieve profitability, if at all, even as we continue to grow and scale our business. As part of such continued growth, we may need to raise equity or debt financing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recurring losses from operations and financial condition raise substantial doubt about our ability to continue as a going concern;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generate revenue primarily from the lease of our ASSURE WCD as part of our Cardiac Recovery System platform, and we are therefore highly dependent on our ASSURE WCD for our continued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dependent upon healthcare providers, hospitals and patients adopting our solutions, and if we fail to obtain and maintain broad adoption, our business would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estimates of our market and forecasts of market growth included in this prospectus are based on a number of complex assumptions and estimates that may prove to be inaccurate, and even if the markets in which we compete achieve the forecasted growth, our business may not increase at similar rates,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manage the anticipated growth of our business, our future revenue and operating results may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clinical study initiatives may be complex, lengthy, expensive and carry uncertain outcomes. Future trials and studies by us or others may fail to replicate positive results observed to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a limited number of third-party suppliers and contract manufacturers to manufacture and recondition our ASSURE WCD and its components, which could make us vulnerable to supply shortages and price fluctuations that could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billing for our products is complex, and we must dedicate substantial time and resources to the billing process;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competitors are able to develop or market products and services that are more effective, or gain greater acceptance in the marketplace, than any products and services we develop, our commercial opportunities will be reduced or eliminated;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and may identify additional material weaknesses. If our remediation of material weaknesses in our internal control over financial reporting is not effective, or we fail to develop and maintain effective internal control over financial reporting, our ability to produce timely and accurate financial statements could be impaired, which could harm our business and negatively impact the value of our common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may assert that we are employing their intellectual property and other proprietary technology without authorization, and we may become a party to litigation or administrative proceedings related to intellectual property that could be costly, time-consuming, or unsuccessful and could hinder our ability to commercialize our existing or future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efforts to obtain intellectual property protection and the intellectual property rights we obtain may be inadequate, and our business may be adversely affected as a result;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challenging the inventorship of our patents and other intellectual property;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regulatory environment may make it more difficult and costly for us to manufacture, market or distribute our products, or to obtain approval for any future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healthcare and other governmental regulations, we could face substantial penalties and our business, results of operations and financial condition could be adversely affected;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Bain Capital controls us, and its interests may conflict with ours or yours.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Risk Factors for a discussion of these and other factors you should consider before making an investment in our common shares.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Transactions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consummate the following organizational transactions prior to or concurrently with (unless otherwise stated) this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West Affum Holdings, L.P. will contribute all its equity interests, including preferred shares, in West Affum Intermediate Holdings to Kestra Medical Technologies, Ltd., the issuer in this offering in exchange for common shares of Kestra Medical Technologies, Ltd., thereby making Kestra Medical Technologies, Ltd. the top parent company of West Affum Intermediate Holdings and all of its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Kestra Medical Technologies, Ltd. will deliver 37,651,467 newly-issued common shares with a par value of $1.00 per share to the holders of West Affum Holdings, L.P. Class A common units and incentive units (including a third-party investor who will receive Class A common units in West Affum Holdings, L.P. immediately prior to the distribution in exchange for its equity interests in West Affum Holdings Designated Activity Company), including 10,897 common shares of Kestra Medical Technologies, Ltd. that will be subject to vesting conditions, in consideration for the exchange of such holders interests in West Affum Holdings, L.P;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Kestra Medical Technologies, Ltd. will issue new warrants in consideration of the cancellation of certain warrants issued by West Affum Holdings, L.P. (see Organizational TransactionsWarrant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West Affum Holdings, L.P. will continue to hold common shares of Kestra Medical Technologies, Ltd. for the benefit of the holders of common units in West Affum Holdings, L.P., including an affiliate of Bain Capital, until such time that such common shares are distributed by West Affum Holdings, L.P. to the remaining partners of West Affum Holdings, L.P., which is currently expected to occur approximately nine months after the consummation of this offering (the Post-IPO Distribution). The allocation of the number of common shares of Kestra Medical Technologies, Ltd. held by West Affum Holdings, L.P. among the holders of common units in West Affum Holdings, L.P. in the Post-IPO Distribution will be determined in reference to the liquidation value of West Affum Holdings, L.P. at the time of such Post-IPO Distribution;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Organizational Transactions, at the West Affum Intermediate Holdings level, pre-existing preferred interests as well as noncontrolling interests of its subsidiaries, will be converted into common shares, which will all be wholly owned by Kestra Medical Technologies, Ltd.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100 shares of Kestra Medical Technologies, Ltd. common stock outstanding as of October 31, 2024, owned by West Affum Holdings, L.P., will continue to be owned by West Affum Holdings, L.P. following the consummation of the Organizational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refer to the above transactions, as well as the transactions incidental to or in connection therewith, collectively as the Organizational Transactions. See the sections titled Basis of Presentation and Organizational Transactions included elsewhere in this 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chart shows our simplified organizational structure immediately following the consummation of the Organizational Transactions and this offering, after giving effect to the sale of 11,882,352 common shares in this offering at the initial public offering price of $17.00 per share and assuming no exercise of the underwriters over-allotment option.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421505" cy="67576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421505" cy="6757670"/>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as amended (the JOBS Act). For so long as we remain an emerging growth company, we may rely on the following provisions of the JOBS Act that contain exceptions from disclosure and other requirements that otherwise are applicable to companies that conduct initial public offerings and file periodic reports with the SEC.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present only two years of audited financial statements and only two years of related Managements Discussion and Analysis of Financial Condition and Results of Operations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(the Sarbanes-Oxley Act), in the assessment of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adoption of new or revised accounting standards until those standards apply to private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including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requirement of the Public Company Accounting Oversight Board regarding the communication of critical audit matters in the auditors report on financial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shareholder approval of any golden parachute payments not previously approved.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(i) the last day of the fiscal year that follows the fifth anniversary of the completion of this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will occur when the market value of our common shares held by non-affiliates exceeds $700.0 million as of the most recently completed second quarter; and (iv) the date on which we have issued more than $1 billion in non-convertible debt over a three-year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this prospectus and may elect to take advantage of other reduced reporting requirements in our future filings with the SEC. As a result, the information that we provide to our shareholders may be different than what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As a result of these elections, our financial statements may not be comparable to those of public companies that comply with such new or revised accounting standards.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such term is defined in Rule 12b-2 under the Exchange Act. We may continue to be a smaller reporting company for so long as either (1) the market value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see the section titled Risk FactorsRisks Related to this OfferingWe are an emerging growth company and a smaller reporting company, and our compliance with the reduced reporting and disclosure requirements applicable to emerging growth companies and smaller reporting companies could make our common shares less attractive to investors.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Principal Shareholder; Controlled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closing of this offering, Bain Charger Holdings, L.P. (Bain Charger), an investment fund advised by Bain Capital, will beneficially own approximately 50.4% of our common shares (or 48.6% if the underwriters exercise in full their over-allotment option). As a result, we will be a controlled company within the meaning of the applicable listing rules of the Nasdaq Global Select Market. See Risk FactorsRisks Related to this OfferingUpon listing of our shares on the Nasdaq Global Select Market, we will be a controlled company within the meaning of the rules and, as a result, we will qualify for exemptions from certain corporate governance requirements. You will not have the same protections as those afforded to shareholders of companies that are subject to such governance requirements.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Bain Capital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1984, Bain Capital, L.P. is one of the worlds leading private investment firms. Bain Capital, L.P. is committed to creating lasting impact for its investors, teams, businesses, and the communities in which we live. As a private partnership, Bain Capital, L.P. leads with conviction and a culture of collaboration, advantages that enable it to innovate investment approaches, unlock opportunities, and create exceptional outcomes. Bain Capital, L.P.s global platform invests across five focus areas: Private Equity, Growth &amp; Venture, Capital Solutions, Credit &amp; Capital Markets, and Real Assets. In these focus areas, Bain Capital, L.P. brings deep sector expertise and wide-ranging capabilities. Bain Capital, L.P. has 25 offices on four continents, more than 1,850 employees, and approximately $185 billion in assets under management.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Bain Capital Private Equity, L.P. and Bain Capital Life Sciences, L.P., each an affiliate of Bain Capital, L.P. (collectively with Bain Charger, Bain Capital), have made nearly 1,000 investments in a variety of industries around the world. Bain Capital has a long and successful history of investing in healthcare businesses and has a dedicated group of investment professionals focused on the sector. Bain Capital has helped to build and scale many leading companies in the healthcare industry, including Aveanna Healthcare, Cerevel Therapeutics, Grupo NotreDame Intermedica, Gynesonics, Imperative Care, HCA, IQVIA, JenaValve, Physio-Control, QuVa Pharma, STADA, Surgery Partners, US Renal Care, Waystar, HeartFlow, Affera and Zelis.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Kestra Medical Technologies, Ltd. was incorporated as a Bermuda exempted company on May 20, 2021 in anticipation of this offering and has not engaged in any business or other activities to date other than those incidental to its formation, the Organizational Transactions and the preparation of the prospectus and the registration statement of which this prospectus forms a part. Our principal office is located at 3933 Lake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Washington Blvd NE, Suite 200, Kirkland, Washington 98033, and our registered office is located in Bermuda at Cumberland House, 7th Floor, 1 Victoria Street, Hamilton HM 11, Bermuda. Our telephone number is (425) 279-8002. Our website address is https://www.kestramedical.com. Following the consummation of this offering, Kestra Medical Technologies, Ltd. will become a tax resident of Ireland. The information contained on, or accessible through, our website is not incorporated by reference into this prospectus, and you should not consider any information contained on, or that can be accessed through, our website as part of this prospectus or in deciding whether to purchase our common shares. We are a holding company and all of our business operations are conducted through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Shares Offered by Us </w:t>
            </w:r>
          </w:p>
        </w:tc>
        <w:tc>
          <w:tcPr>
            <w:tcW w:w="6327" w:type="dxa"/>
            <w:tcBorders/>
          </w:tcPr>
          <w:p>
            <w:pPr>
              <w:pStyle w:val="TableContents"/>
              <w:bidi w:val="0"/>
              <w:spacing w:before="0" w:after="283"/>
              <w:jc w:val="left"/>
              <w:rPr/>
            </w:pPr>
            <w:r>
              <w:rPr/>
              <w:t xml:space="preserve">11,882,352 common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Over-allotment Option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have granted the underwriters an over-allotment option for a period of 30 days from the date of this prospectus to purchase up to 1,782,352 additional common shares at the public offering price, less the underwriting discount.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Shares to be Outstanding Immediately After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49,533,819 common shares (or 51,316,171 common shares if the underwriters exercise in full their over-allotment option).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estimate that the net proceeds from our issuance and sale of common shares in this offering will be approximately $181.4 million, or approximately $209.5 million if the underwriters exercise in full their over-allotment option, after deducting underwriting discounts and commissions and estimated offering expenses incurred by us. We intend to use the net proceeds from this offering to scale up our commercial organization through the hiring of additional sales representatives, sales team leadership and clinical care specialists, as well as through investments in our fleet of devices, supply chain and revenue cycle management capabilities; and to fund the research and development of continued innovation in our products and to fund trials to build upon our strong base of clinical evidence. We intend to use the remainder for working capital and general corporate purposes.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See Use of Proceeds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Controlled Company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After this offering, we expect to be a controlled company within the meaning of the applicable listing rules of the Nasdaq Global Select Market. See ManagementControlled Company Exception.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Dividend Policy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have not historically declared or paid any dividends on our common shares.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(the Board of Directors) and will depend on, among other things, our results of operations, cash requirements, financial condition, contractual restrictions and other factors that our Board of Directors may deem relevant. We are not obligated to pay dividends on our common shares. See Dividend Policy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6" w:type="dxa"/>
            <w:tcBorders/>
          </w:tcPr>
          <w:p>
            <w:pPr>
              <w:pStyle w:val="TableContents"/>
              <w:bidi w:val="0"/>
              <w:spacing w:before="0" w:after="283"/>
              <w:jc w:val="left"/>
              <w:rPr/>
            </w:pPr>
            <w:r>
              <w:rPr/>
              <w:t xml:space="preserve">Investing in our common shares involves a high degree of risk. You should read the section titled Risk Factors for a discussion of factors to consider carefully before deciding to invest in our common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Material Bermuda, Irish and U.S. Federal Income Tax Considerations </w:t>
            </w:r>
          </w:p>
        </w:tc>
        <w:tc>
          <w:tcPr>
            <w:tcW w:w="6328" w:type="dxa"/>
            <w:tcBorders/>
          </w:tcPr>
          <w:p>
            <w:pPr>
              <w:pStyle w:val="TableContents"/>
              <w:bidi w:val="0"/>
              <w:spacing w:before="0" w:after="283"/>
              <w:jc w:val="left"/>
              <w:rPr/>
            </w:pPr>
            <w:r>
              <w:rPr/>
              <w:t xml:space="preserve">For a discussion of material Bermuda, Irish and U.S. federal income tax consequences, see the section titled Material Bermuda, Irish and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Proposed Trading Symbol </w:t>
            </w:r>
          </w:p>
        </w:tc>
        <w:tc>
          <w:tcPr>
            <w:tcW w:w="6328" w:type="dxa"/>
            <w:tcBorders/>
          </w:tcPr>
          <w:p>
            <w:pPr>
              <w:pStyle w:val="TableContents"/>
              <w:bidi w:val="0"/>
              <w:spacing w:before="0" w:after="283"/>
              <w:jc w:val="left"/>
              <w:rPr/>
            </w:pPr>
            <w:r>
              <w:rPr/>
              <w:t xml:space="preserve">KMTS.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Reserved Shares Program </w:t>
            </w:r>
          </w:p>
        </w:tc>
        <w:tc>
          <w:tcPr>
            <w:tcW w:w="6328" w:type="dxa"/>
            <w:tcBorders/>
          </w:tcPr>
          <w:p>
            <w:pPr>
              <w:pStyle w:val="TableContents"/>
              <w:bidi w:val="0"/>
              <w:spacing w:before="0" w:after="283"/>
              <w:jc w:val="left"/>
              <w:rPr/>
            </w:pPr>
            <w:r>
              <w:rPr/>
              <w:t xml:space="preserve">At our request, the underwriters have reserved up to 5% of the common shares offered hereby, for sale at the initial public offering price to our officers, directors, team members and certain of their friends or family. The sales will be made to certain entities and individuals identified by management through a reserved shares program. If these persons purchase reserved common shares, it will reduce the number of common shares available for sale to the general public. Any reserved common shares that are not so purchased will be offered by the underwriters to the general public on the same terms as the other common shares offered hereby. For further information regarding our reserved shares program, see UnderwritingReserved Shares.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common shares that will be outstanding immediately after this offering is based on 37,651,467 common shares issued as of October 31, 2024, after giving pro forma effect to the Organizational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herein, all information in this prospectus, including the number of common shares that will be outstanding after this offering, assumes or gives effect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Organizational Transactions, as described under the section titled Organizational Transactions, including the issuance of common shares in connection with the Organizational Transactions that are subject to certain vesting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amended and restated bye-laws upon the closing of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underwriters of their over-allotment option.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herein, in this prospectus the number of common shares that will be outstanding after this offering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4,644,400 common shares underlying stock options granted to our NEOs and certain other employees immediately following the pricing of this offering, with an exercise price equal to the initial public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12,890,000 common shares that will be reserved for issuance under our new equity incentive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434,916 common shares issuable upon the exercise of warrants issued by Kestra Medical Technologies, Ltd., with warrants with respect to 62,325, 46,744 and 325,847 common shares having exercise prices of $17.81, $20.65 and $11.54,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our summary condensed consolidated financial data for the six months ended October 31, 2024 and 2023, and our summary consolidated financial data for the fiscal years ended April 30, 2024 and 2023. We derived the consolidated statements of operations and comprehensive loss data for the fiscal years ended April 30, 2024 and 2023 and the consolidated balance sheet data as of April 30, 2024 and 2023 from the audited consolidated financial statements of West Affum Intermediate Holdings and its consolidated subsidiaries included elsewhere in this prospectus. We derived the condensed consolidated statements of operations and comprehensive loss data for the six months ended October 31, 2024 and 2023 and the condensed consolidated balance sheet data as of October 31, 2024 from the unaudited condensed consolidated financial statements of West Affum Intermediate Holdings and its consolidated subsidiaries included elsewhere in this prospectus. We have prepared the unaudited condensed consolidated financial statements on the same basis as the audited consolidated financial statements and have included all adjustments, consisting only of normal recurring adjustments, which in our opinion are necessary to state fairly the financial information set forth in those statements. See Basis of Presentation.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Kestra Medical Technologies, Ltd. was incorporated as a Bermuda exempted company on May 20, 2021, in anticipation of this offering and has not engaged in any business or other activities to date other than those incidental to its formation, the Organizational Transactions and the preparation of the prospectus and the registration statement of which this prospectus forms a part. As such, summary consolidated financial data for Kestra Medical Technologies, Ltd. has not been provided. The balance sheets of Kestra Medical Technologies, Ltd. as of October 31, 2024, April 30, 2024 and April 30, 2023 are included elsewhere in this prospectus for reference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historical results are not necessarily indicative of the results to be expected in the future. You should read the summary consolidated financial data and the summary condensed consolidated financial data set forth below in conjunction with our consolidated financial statements, our condensed consolidated financial statements and related notes thereto included elsewhere in this prospectus, as well as the sections titled Managements Discussion and Analysis of Financial Condition and Results of Operations and Capitalization. Our fiscal year ends on April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Statements of Operations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389"/>
        <w:gridCol w:w="174"/>
        <w:gridCol w:w="140"/>
        <w:gridCol w:w="1116"/>
        <w:gridCol w:w="155"/>
        <w:gridCol w:w="117"/>
        <w:gridCol w:w="140"/>
        <w:gridCol w:w="817"/>
        <w:gridCol w:w="155"/>
        <w:gridCol w:w="117"/>
        <w:gridCol w:w="140"/>
        <w:gridCol w:w="1116"/>
        <w:gridCol w:w="275"/>
        <w:gridCol w:w="117"/>
        <w:gridCol w:w="140"/>
        <w:gridCol w:w="817"/>
        <w:gridCol w:w="280"/>
      </w:tblGrid>
      <w:tr>
        <w:trPr/>
        <w:tc>
          <w:tcPr>
            <w:tcW w:w="4389"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38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48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October 31,</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60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Year Ended</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April 30,</w:t>
            </w:r>
          </w:p>
        </w:tc>
        <w:tc>
          <w:tcPr>
            <w:tcW w:w="280" w:type="dxa"/>
            <w:tcBorders/>
            <w:vAlign w:val="bottom"/>
          </w:tcPr>
          <w:p>
            <w:pPr>
              <w:pStyle w:val="TableContents"/>
              <w:bidi w:val="0"/>
              <w:spacing w:before="0" w:after="283"/>
              <w:jc w:val="left"/>
              <w:rPr/>
            </w:pPr>
            <w:r>
              <w:rPr/>
              <w:t> </w:t>
            </w:r>
          </w:p>
        </w:tc>
      </w:tr>
      <w:tr>
        <w:trPr/>
        <w:tc>
          <w:tcPr>
            <w:tcW w:w="4389"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(in thousands, except share and per share amounts)</w:t>
            </w:r>
          </w:p>
        </w:tc>
        <w:tc>
          <w:tcPr>
            <w:tcW w:w="174" w:type="dxa"/>
            <w:tcBorders/>
            <w:vAlign w:val="bottom"/>
          </w:tcPr>
          <w:p>
            <w:pPr>
              <w:pStyle w:val="TableContents"/>
              <w:bidi w:val="0"/>
              <w:spacing w:before="0" w:after="283"/>
              <w:jc w:val="left"/>
              <w:rPr/>
            </w:pPr>
            <w:r>
              <w:rPr/>
              <w:t>  </w:t>
            </w:r>
          </w:p>
        </w:tc>
        <w:tc>
          <w:tcPr>
            <w:tcW w:w="1256"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256"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280" w:type="dxa"/>
            <w:tcBorders/>
            <w:vAlign w:val="bottom"/>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Consolidated Statements of Operations and Comprehensive Loss </w:t>
            </w:r>
          </w:p>
          <w:p>
            <w:pPr>
              <w:pStyle w:val="TableContents"/>
              <w:bidi w:val="0"/>
              <w:spacing w:before="0" w:after="20"/>
              <w:jc w:val="left"/>
              <w:rPr>
                <w:rFonts w:ascii="Times New Roman" w:hAnsi="Times New Roman"/>
                <w:b/>
                <w:sz w:val="20"/>
              </w:rPr>
            </w:pPr>
            <w:r>
              <w:rPr>
                <w:rFonts w:ascii="Times New Roman" w:hAnsi="Times New Roman"/>
                <w:b/>
                <w:sz w:val="20"/>
              </w:rPr>
              <w:t>Data:</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27,492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9,483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27,814</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7,630</w:t>
            </w:r>
          </w:p>
        </w:tc>
        <w:tc>
          <w:tcPr>
            <w:tcW w:w="280" w:type="dxa"/>
            <w:tcBorders/>
            <w:vAlign w:val="bottom"/>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17,462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11,398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27,452</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18,281</w:t>
            </w:r>
          </w:p>
        </w:tc>
        <w:tc>
          <w:tcPr>
            <w:tcW w:w="280" w:type="dxa"/>
            <w:tcBorders/>
            <w:shd w:fill="CCEEFF" w:val="clear"/>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10,030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(1,915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362</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(10,651</w:t>
            </w:r>
          </w:p>
        </w:tc>
        <w:tc>
          <w:tcPr>
            <w:tcW w:w="280" w:type="dxa"/>
            <w:tcBorders/>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costs</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6,913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7,934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15,490</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15,756</w:t>
            </w:r>
          </w:p>
        </w:tc>
        <w:tc>
          <w:tcPr>
            <w:tcW w:w="280" w:type="dxa"/>
            <w:tcBorders/>
            <w:vAlign w:val="bottom"/>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40,682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34,919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69,935</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54,014</w:t>
            </w:r>
          </w:p>
        </w:tc>
        <w:tc>
          <w:tcPr>
            <w:tcW w:w="280" w:type="dxa"/>
            <w:tcBorders/>
            <w:shd w:fill="CCEEFF" w:val="clear"/>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Total operating expenses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47,595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42,853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85,425</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69,770</w:t>
            </w:r>
          </w:p>
        </w:tc>
        <w:tc>
          <w:tcPr>
            <w:tcW w:w="280" w:type="dxa"/>
            <w:tcBorders/>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(37,565</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(44,768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(85,063</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(80,421</w:t>
            </w:r>
          </w:p>
        </w:tc>
        <w:tc>
          <w:tcPr>
            <w:tcW w:w="280" w:type="dxa"/>
            <w:tcBorders/>
            <w:shd w:fill="CCEEFF" w:val="clear"/>
            <w:vAlign w:val="bottom"/>
          </w:tcPr>
          <w:p>
            <w:pPr>
              <w:pStyle w:val="TableContents"/>
              <w:bidi w:val="0"/>
              <w:spacing w:before="0" w:after="283"/>
              <w:jc w:val="left"/>
              <w:rPr/>
            </w:pPr>
            <w:r>
              <w:rPr/>
              <w:t>) </w:t>
            </w:r>
          </w:p>
        </w:tc>
      </w:tr>
      <w:tr>
        <w:trPr/>
        <w:tc>
          <w:tcPr>
            <w:tcW w:w="438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expense:</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3,276</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2,644</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6,230</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5,629</w:t>
            </w:r>
          </w:p>
        </w:tc>
        <w:tc>
          <w:tcPr>
            <w:tcW w:w="280" w:type="dxa"/>
            <w:tcBorders/>
            <w:shd w:fill="CCEEFF" w:val="clear"/>
            <w:vAlign w:val="bottom"/>
          </w:tcPr>
          <w:p>
            <w:pPr>
              <w:pStyle w:val="TableContents"/>
              <w:bidi w:val="0"/>
              <w:spacing w:before="0" w:after="283"/>
              <w:jc w:val="left"/>
              <w:rPr/>
            </w:pPr>
            <w:r>
              <w:rPr/>
              <w:t> </w:t>
            </w:r>
          </w:p>
        </w:tc>
      </w:tr>
      <w:tr>
        <w:trPr/>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2,768</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2,803</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(1,827</w:t>
            </w:r>
          </w:p>
        </w:tc>
        <w:tc>
          <w:tcPr>
            <w:tcW w:w="280" w:type="dxa"/>
            <w:tcBorders/>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before provision for income taxes</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(40,929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(50,180</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(94,096</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(84,223</w:t>
            </w:r>
          </w:p>
        </w:tc>
        <w:tc>
          <w:tcPr>
            <w:tcW w:w="280" w:type="dxa"/>
            <w:tcBorders/>
            <w:shd w:fill="CCEEFF" w:val="clear"/>
            <w:vAlign w:val="bottom"/>
          </w:tcPr>
          <w:p>
            <w:pPr>
              <w:pStyle w:val="TableContents"/>
              <w:bidi w:val="0"/>
              <w:spacing w:before="0" w:after="283"/>
              <w:jc w:val="left"/>
              <w:rPr/>
            </w:pPr>
            <w:r>
              <w:rPr/>
              <w:t>) </w:t>
            </w:r>
          </w:p>
        </w:tc>
      </w:tr>
      <w:tr>
        <w:trPr/>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 (1)</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24</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w:t>
            </w:r>
          </w:p>
        </w:tc>
        <w:tc>
          <w:tcPr>
            <w:tcW w:w="280" w:type="dxa"/>
            <w:tcBorders/>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and comprehensive loss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(40,944</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(50,217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(94,120</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(84,238</w:t>
            </w:r>
          </w:p>
        </w:tc>
        <w:tc>
          <w:tcPr>
            <w:tcW w:w="280" w:type="dxa"/>
            <w:tcBorders/>
            <w:shd w:fill="CCEEFF" w:val="clear"/>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(692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attributable to West Affum Intermediate Holdings Corp.</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(40,252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(50,217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(94,120</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(84,238</w:t>
            </w:r>
          </w:p>
        </w:tc>
        <w:tc>
          <w:tcPr>
            <w:tcW w:w="280" w:type="dxa"/>
            <w:tcBorders/>
            <w:shd w:fill="CCEEFF" w:val="clear"/>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Less: Undeclared preferred stock dividends</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5,706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2,915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6,721</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2,499</w:t>
            </w:r>
          </w:p>
        </w:tc>
        <w:tc>
          <w:tcPr>
            <w:tcW w:w="280" w:type="dxa"/>
            <w:tcBorders/>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 basic and diluted</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(45,958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(53,132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(100,841</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(86,737</w:t>
            </w:r>
          </w:p>
        </w:tc>
        <w:tc>
          <w:tcPr>
            <w:tcW w:w="280" w:type="dxa"/>
            <w:tcBorders/>
            <w:shd w:fill="CCEEFF" w:val="clear"/>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 basic and diluted</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(434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(502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(953</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(820</w:t>
            </w:r>
          </w:p>
        </w:tc>
        <w:tc>
          <w:tcPr>
            <w:tcW w:w="280" w:type="dxa"/>
            <w:tcBorders/>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basic and diluted</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105,808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105,808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105,808</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105,808</w:t>
            </w:r>
          </w:p>
        </w:tc>
        <w:tc>
          <w:tcPr>
            <w:tcW w:w="280" w:type="dxa"/>
            <w:tcBorders/>
            <w:shd w:fill="CCEEFF" w:val="clear"/>
            <w:vAlign w:val="bottom"/>
          </w:tcPr>
          <w:p>
            <w:pPr>
              <w:pStyle w:val="TableContents"/>
              <w:bidi w:val="0"/>
              <w:spacing w:before="0" w:after="283"/>
              <w:jc w:val="left"/>
              <w:rPr/>
            </w:pPr>
            <w:r>
              <w:rPr/>
              <w:t> </w:t>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loss per share attributable to common shareholders, basic and diluted (1)(2)</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(2.65</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weighted-average common shares, basic and diluted (1)(2)</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37,640,470</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37,640,470</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38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Organizational Transactions and this offering, Kestra Medical Technologies, Ltd. will report on its consolidated financial statements U.S. federal income taxes, in addition to state and local taxes, because it will own 100% of Kestra Medical Technologies, Inc. and its subsidiaries, which are subject to U.S. federal (and state and local) income taxes. As we have historically generated losses, and on a pro forma basis, will continue to have losses following the Organizational Transactions and this offering, the pro forma net loss per share attributable to common shareholders, basic and diluted, in our unaudited pro forma consolidated statements of operations does not reflect adjustments to our provision for income taxes as it has been determined that it is more likely than not that our net operating loss will not be realized.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net loss per share and pro forma weighted-average shares information represent that of Kestra Medical Technologies, Ltd. and give pro forma effect to the Organizational Transactions, as described in the section titled Organizational Transactions included elsewhere in this prospectus, and excludes 10,897 unvested common shares which are not considered outstanding for calculating unaudited pro forma net loss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summarizes our unaudited pro forma net loss per share for the six months ended October 31, 2024 and year ended April 30, 2024. The pro forma adjustment to our net loss attributable to common stockholder, basic and diluted, for the six months ended October 31, 2024 include the removal of (1) net loss attributable to non-controlling interest of $0.7 million and (2) undeclared preferred stock dividends of $5.7 million. The pro forma adjustment to our net loss attributable to common stockholder, basic and diluted, for the year ended April 30, 2024 include (1) the removal of undeclared preferred stock dividends of $6.7 million, (2) the recognition of estimated offering and reorganization costs of $2.6 million and (3) recognition of accelerated stock-based compensation expense of $2.8 million based on the unrecognized stock-based compensation expense as of October 31, 2024. The pro forma adjustment to our weighted-average shares used in computing pro forma net loss per share attributable to common shareholders, basic and diluted, includes (1) the issuance of 37,651,467 common shares of Kestra Medical Technologies, Ltd. less (2) 10,897 unvested common shares and (3) net of 105,808 historical weighted-average common shares as of October 31, 2024 and April 30, 2024 as described in the section entitled Organizational Transactions. </w:t>
            </w:r>
          </w:p>
        </w:tc>
      </w:tr>
    </w:tbl>
    <w:p>
      <w:pPr>
        <w:pStyle w:val="TextBody"/>
        <w:bidi w:val="0"/>
        <w:spacing w:before="0" w:after="0"/>
        <w:jc w:val="left"/>
        <w:rPr>
          <w:bdr w:val="single" w:sz="8" w:space="1" w:color="000000"/>
        </w:rPr>
      </w:pPr>
      <w:r>
        <w:rPr>
          <w:bdr w:val="single" w:sz="8" w:space="1" w:color="000000"/>
        </w:rPr>
        <w:t> </w:t>
      </w:r>
    </w:p>
    <w:tbl>
      <w:tblPr>
        <w:tblW w:w="4250" w:type="pct"/>
        <w:jc w:val="center"/>
        <w:tblInd w:w="0" w:type="dxa"/>
        <w:tblLayout w:type="fixed"/>
        <w:tblCellMar>
          <w:top w:w="0" w:type="dxa"/>
          <w:left w:w="0" w:type="dxa"/>
          <w:bottom w:w="0" w:type="dxa"/>
          <w:right w:w="0" w:type="dxa"/>
        </w:tblCellMar>
      </w:tblPr>
      <w:tblGrid>
        <w:gridCol w:w="4732"/>
        <w:gridCol w:w="514"/>
        <w:gridCol w:w="149"/>
        <w:gridCol w:w="1183"/>
        <w:gridCol w:w="155"/>
        <w:gridCol w:w="514"/>
        <w:gridCol w:w="140"/>
        <w:gridCol w:w="1127"/>
        <w:gridCol w:w="160"/>
      </w:tblGrid>
      <w:tr>
        <w:trPr/>
        <w:tc>
          <w:tcPr>
            <w:tcW w:w="4732"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2"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Six Months Ended</w:t>
              <w:br/>
              <w:t>October 31, 2024</w:t>
            </w:r>
          </w:p>
        </w:tc>
        <w:tc>
          <w:tcPr>
            <w:tcW w:w="155"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Year Ended</w:t>
              <w:br/>
              <w:t>April 30, 2024</w:t>
            </w:r>
          </w:p>
        </w:tc>
        <w:tc>
          <w:tcPr>
            <w:tcW w:w="160" w:type="dxa"/>
            <w:tcBorders/>
            <w:vAlign w:val="bottom"/>
          </w:tcPr>
          <w:p>
            <w:pPr>
              <w:pStyle w:val="TableContents"/>
              <w:bidi w:val="0"/>
              <w:spacing w:before="0" w:after="283"/>
              <w:jc w:val="left"/>
              <w:rPr/>
            </w:pPr>
            <w:r>
              <w:rPr/>
              <w:t> </w:t>
            </w:r>
          </w:p>
        </w:tc>
      </w:tr>
      <w:tr>
        <w:trPr/>
        <w:tc>
          <w:tcPr>
            <w:tcW w:w="4732"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3268" w:type="dxa"/>
            <w:gridSpan w:val="6"/>
            <w:tcBorders/>
            <w:vAlign w:val="bottom"/>
          </w:tcPr>
          <w:p>
            <w:pPr>
              <w:pStyle w:val="TableContents"/>
              <w:bidi w:val="0"/>
              <w:spacing w:before="0" w:after="283"/>
              <w:jc w:val="center"/>
              <w:rPr/>
            </w:pPr>
            <w:r>
              <w:rPr/>
              <w:t>(in thousands, except share and</w:t>
              <w:br/>
              <w:t>per share amounts)</w:t>
            </w:r>
          </w:p>
        </w:tc>
        <w:tc>
          <w:tcPr>
            <w:tcW w:w="160" w:type="dxa"/>
            <w:tcBorders/>
            <w:vAlign w:val="bottom"/>
          </w:tcPr>
          <w:p>
            <w:pPr>
              <w:pStyle w:val="TableContents"/>
              <w:bidi w:val="0"/>
              <w:spacing w:before="0" w:after="283"/>
              <w:jc w:val="left"/>
              <w:rPr/>
            </w:pPr>
            <w:r>
              <w:rPr/>
              <w:t> </w:t>
            </w:r>
          </w:p>
        </w:tc>
      </w:tr>
      <w:tr>
        <w:trPr/>
        <w:tc>
          <w:tcPr>
            <w:tcW w:w="4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 basic and diluted</w:t>
            </w:r>
          </w:p>
        </w:tc>
        <w:tc>
          <w:tcPr>
            <w:tcW w:w="51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(45,958</w:t>
            </w:r>
          </w:p>
        </w:tc>
        <w:tc>
          <w:tcPr>
            <w:tcW w:w="155"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7" w:type="dxa"/>
            <w:tcBorders/>
            <w:shd w:fill="CCEEFF" w:val="clear"/>
            <w:vAlign w:val="bottom"/>
          </w:tcPr>
          <w:p>
            <w:pPr>
              <w:pStyle w:val="TableContents"/>
              <w:bidi w:val="0"/>
              <w:spacing w:before="0" w:after="283"/>
              <w:jc w:val="right"/>
              <w:rPr/>
            </w:pPr>
            <w:r>
              <w:rPr/>
              <w:t>(100,841</w:t>
            </w:r>
          </w:p>
        </w:tc>
        <w:tc>
          <w:tcPr>
            <w:tcW w:w="160" w:type="dxa"/>
            <w:tcBorders/>
            <w:shd w:fill="CCEEFF" w:val="clear"/>
            <w:vAlign w:val="bottom"/>
          </w:tcPr>
          <w:p>
            <w:pPr>
              <w:pStyle w:val="TableContents"/>
              <w:bidi w:val="0"/>
              <w:spacing w:before="0" w:after="283"/>
              <w:jc w:val="left"/>
              <w:rPr/>
            </w:pPr>
            <w:r>
              <w:rPr/>
              <w:t>) </w:t>
            </w:r>
          </w:p>
        </w:tc>
      </w:tr>
      <w:tr>
        <w:trPr/>
        <w:tc>
          <w:tcPr>
            <w:tcW w:w="4732"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w:t>
            </w:r>
          </w:p>
        </w:tc>
        <w:tc>
          <w:tcPr>
            <w:tcW w:w="51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5,014</w:t>
            </w:r>
          </w:p>
        </w:tc>
        <w:tc>
          <w:tcPr>
            <w:tcW w:w="155"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7" w:type="dxa"/>
            <w:tcBorders/>
            <w:vAlign w:val="bottom"/>
          </w:tcPr>
          <w:p>
            <w:pPr>
              <w:pStyle w:val="TableContents"/>
              <w:bidi w:val="0"/>
              <w:spacing w:before="0" w:after="283"/>
              <w:jc w:val="right"/>
              <w:rPr/>
            </w:pPr>
            <w:r>
              <w:rPr/>
              <w:t>1,248</w:t>
            </w:r>
          </w:p>
        </w:tc>
        <w:tc>
          <w:tcPr>
            <w:tcW w:w="160" w:type="dxa"/>
            <w:tcBorders/>
            <w:vAlign w:val="bottom"/>
          </w:tcPr>
          <w:p>
            <w:pPr>
              <w:pStyle w:val="TableContents"/>
              <w:bidi w:val="0"/>
              <w:spacing w:before="0" w:after="283"/>
              <w:jc w:val="left"/>
              <w:rPr/>
            </w:pPr>
            <w:r>
              <w:rPr/>
              <w:t> </w:t>
            </w:r>
          </w:p>
        </w:tc>
      </w:tr>
      <w:tr>
        <w:trPr/>
        <w:tc>
          <w:tcPr>
            <w:tcW w:w="4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attributable to common shareholders</w:t>
            </w:r>
          </w:p>
        </w:tc>
        <w:tc>
          <w:tcPr>
            <w:tcW w:w="51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(40,944</w:t>
            </w:r>
          </w:p>
        </w:tc>
        <w:tc>
          <w:tcPr>
            <w:tcW w:w="155"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7" w:type="dxa"/>
            <w:tcBorders/>
            <w:shd w:fill="CCEEFF" w:val="clear"/>
            <w:vAlign w:val="bottom"/>
          </w:tcPr>
          <w:p>
            <w:pPr>
              <w:pStyle w:val="TableContents"/>
              <w:bidi w:val="0"/>
              <w:spacing w:before="0" w:after="283"/>
              <w:jc w:val="right"/>
              <w:rPr/>
            </w:pPr>
            <w:r>
              <w:rPr/>
              <w:t>(99,593</w:t>
            </w:r>
          </w:p>
        </w:tc>
        <w:tc>
          <w:tcPr>
            <w:tcW w:w="160" w:type="dxa"/>
            <w:tcBorders/>
            <w:shd w:fill="CCEEFF" w:val="clear"/>
            <w:vAlign w:val="bottom"/>
          </w:tcPr>
          <w:p>
            <w:pPr>
              <w:pStyle w:val="TableContents"/>
              <w:bidi w:val="0"/>
              <w:spacing w:before="0" w:after="283"/>
              <w:jc w:val="left"/>
              <w:rPr/>
            </w:pPr>
            <w:r>
              <w:rPr/>
              <w:t>) </w:t>
            </w:r>
          </w:p>
        </w:tc>
      </w:tr>
      <w:tr>
        <w:trPr/>
        <w:tc>
          <w:tcPr>
            <w:tcW w:w="473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 basic and diluted</w:t>
            </w:r>
          </w:p>
        </w:tc>
        <w:tc>
          <w:tcPr>
            <w:tcW w:w="51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105,808</w:t>
            </w:r>
          </w:p>
        </w:tc>
        <w:tc>
          <w:tcPr>
            <w:tcW w:w="155"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105,808</w:t>
            </w:r>
          </w:p>
        </w:tc>
        <w:tc>
          <w:tcPr>
            <w:tcW w:w="160" w:type="dxa"/>
            <w:tcBorders/>
            <w:vAlign w:val="bottom"/>
          </w:tcPr>
          <w:p>
            <w:pPr>
              <w:pStyle w:val="TableContents"/>
              <w:bidi w:val="0"/>
              <w:spacing w:before="0" w:after="283"/>
              <w:jc w:val="left"/>
              <w:rPr/>
            </w:pPr>
            <w:r>
              <w:rPr/>
              <w:t> </w:t>
            </w:r>
          </w:p>
        </w:tc>
      </w:tr>
      <w:tr>
        <w:trPr/>
        <w:tc>
          <w:tcPr>
            <w:tcW w:w="4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w:t>
            </w:r>
          </w:p>
        </w:tc>
        <w:tc>
          <w:tcPr>
            <w:tcW w:w="51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37,534,762</w:t>
            </w:r>
          </w:p>
        </w:tc>
        <w:tc>
          <w:tcPr>
            <w:tcW w:w="155"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37,534,762</w:t>
            </w:r>
          </w:p>
        </w:tc>
        <w:tc>
          <w:tcPr>
            <w:tcW w:w="160" w:type="dxa"/>
            <w:tcBorders/>
            <w:shd w:fill="CCEEFF" w:val="clear"/>
            <w:vAlign w:val="bottom"/>
          </w:tcPr>
          <w:p>
            <w:pPr>
              <w:pStyle w:val="TableContents"/>
              <w:bidi w:val="0"/>
              <w:spacing w:before="0" w:after="283"/>
              <w:jc w:val="left"/>
              <w:rPr/>
            </w:pPr>
            <w:r>
              <w:rPr/>
              <w:t> </w:t>
            </w:r>
          </w:p>
        </w:tc>
      </w:tr>
      <w:tr>
        <w:trPr/>
        <w:tc>
          <w:tcPr>
            <w:tcW w:w="4732"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shares used in computing pro forma net loss per share attributable to common shareholders, basic and diluted</w:t>
            </w:r>
          </w:p>
        </w:tc>
        <w:tc>
          <w:tcPr>
            <w:tcW w:w="51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34,640,570</w:t>
            </w:r>
          </w:p>
        </w:tc>
        <w:tc>
          <w:tcPr>
            <w:tcW w:w="155"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34,640,570</w:t>
            </w:r>
          </w:p>
        </w:tc>
        <w:tc>
          <w:tcPr>
            <w:tcW w:w="160" w:type="dxa"/>
            <w:tcBorders/>
            <w:vAlign w:val="bottom"/>
          </w:tcPr>
          <w:p>
            <w:pPr>
              <w:pStyle w:val="TableContents"/>
              <w:bidi w:val="0"/>
              <w:spacing w:before="0" w:after="283"/>
              <w:jc w:val="left"/>
              <w:rPr/>
            </w:pPr>
            <w:r>
              <w:rPr/>
              <w:t> </w:t>
            </w:r>
          </w:p>
        </w:tc>
      </w:tr>
      <w:tr>
        <w:trPr/>
        <w:tc>
          <w:tcPr>
            <w:tcW w:w="4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 attributable to common shareholders basic and diluted</w:t>
            </w:r>
          </w:p>
        </w:tc>
        <w:tc>
          <w:tcPr>
            <w:tcW w:w="51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7" w:type="dxa"/>
            <w:tcBorders/>
            <w:shd w:fill="CCEEFF" w:val="clear"/>
            <w:vAlign w:val="bottom"/>
          </w:tcPr>
          <w:p>
            <w:pPr>
              <w:pStyle w:val="TableContents"/>
              <w:bidi w:val="0"/>
              <w:spacing w:before="0" w:after="283"/>
              <w:jc w:val="right"/>
              <w:rPr/>
            </w:pPr>
            <w:r>
              <w:rPr/>
              <w:t>(2.65</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Balance Sheet Data </w:t>
      </w:r>
    </w:p>
    <w:p>
      <w:pPr>
        <w:pStyle w:val="TextBody"/>
        <w:bidi w:val="0"/>
        <w:spacing w:before="0" w:after="0"/>
        <w:jc w:val="left"/>
        <w:rPr>
          <w:bdr w:val="single" w:sz="8" w:space="1" w:color="000000"/>
        </w:rPr>
      </w:pPr>
      <w:r>
        <w:rPr>
          <w:bdr w:val="single" w:sz="8" w:space="1" w:color="000000"/>
        </w:rPr>
        <w:t> </w:t>
      </w:r>
    </w:p>
    <w:tbl>
      <w:tblPr>
        <w:tblW w:w="4250" w:type="pct"/>
        <w:jc w:val="center"/>
        <w:tblInd w:w="0" w:type="dxa"/>
        <w:tblLayout w:type="fixed"/>
        <w:tblCellMar>
          <w:top w:w="0" w:type="dxa"/>
          <w:left w:w="0" w:type="dxa"/>
          <w:bottom w:w="0" w:type="dxa"/>
          <w:right w:w="0" w:type="dxa"/>
        </w:tblCellMar>
      </w:tblPr>
      <w:tblGrid>
        <w:gridCol w:w="3738"/>
        <w:gridCol w:w="445"/>
        <w:gridCol w:w="140"/>
        <w:gridCol w:w="891"/>
        <w:gridCol w:w="155"/>
        <w:gridCol w:w="445"/>
        <w:gridCol w:w="141"/>
        <w:gridCol w:w="897"/>
        <w:gridCol w:w="155"/>
        <w:gridCol w:w="445"/>
        <w:gridCol w:w="145"/>
        <w:gridCol w:w="916"/>
        <w:gridCol w:w="161"/>
      </w:tblGrid>
      <w:tr>
        <w:trPr/>
        <w:tc>
          <w:tcPr>
            <w:tcW w:w="3738"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38"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4330" w:type="dxa"/>
            <w:gridSpan w:val="10"/>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As of October 31, 2024</w:t>
            </w:r>
          </w:p>
        </w:tc>
        <w:tc>
          <w:tcPr>
            <w:tcW w:w="161" w:type="dxa"/>
            <w:tcBorders/>
            <w:vAlign w:val="bottom"/>
          </w:tcPr>
          <w:p>
            <w:pPr>
              <w:pStyle w:val="TableContents"/>
              <w:bidi w:val="0"/>
              <w:spacing w:before="0" w:after="283"/>
              <w:jc w:val="left"/>
              <w:rPr/>
            </w:pPr>
            <w:r>
              <w:rPr/>
              <w:t> </w:t>
            </w:r>
          </w:p>
        </w:tc>
      </w:tr>
      <w:tr>
        <w:trPr/>
        <w:tc>
          <w:tcPr>
            <w:tcW w:w="3738"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445"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Actual</w:t>
            </w:r>
          </w:p>
        </w:tc>
        <w:tc>
          <w:tcPr>
            <w:tcW w:w="15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038"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Pro Forma (1)</w:t>
            </w:r>
          </w:p>
        </w:tc>
        <w:tc>
          <w:tcPr>
            <w:tcW w:w="15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06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Pro Forma As</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 xml:space="preserve">Adjusted (2) </w:t>
            </w:r>
          </w:p>
        </w:tc>
        <w:tc>
          <w:tcPr>
            <w:tcW w:w="161" w:type="dxa"/>
            <w:tcBorders/>
            <w:vAlign w:val="bottom"/>
          </w:tcPr>
          <w:p>
            <w:pPr>
              <w:pStyle w:val="TableContents"/>
              <w:bidi w:val="0"/>
              <w:spacing w:before="0" w:after="283"/>
              <w:jc w:val="left"/>
              <w:rPr/>
            </w:pPr>
            <w:r>
              <w:rPr/>
              <w:t> </w:t>
            </w:r>
          </w:p>
        </w:tc>
      </w:tr>
      <w:tr>
        <w:trPr/>
        <w:tc>
          <w:tcPr>
            <w:tcW w:w="37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76,918</w:t>
            </w:r>
          </w:p>
        </w:tc>
        <w:tc>
          <w:tcPr>
            <w:tcW w:w="15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97" w:type="dxa"/>
            <w:tcBorders/>
            <w:vAlign w:val="bottom"/>
          </w:tcPr>
          <w:p>
            <w:pPr>
              <w:pStyle w:val="TableContents"/>
              <w:bidi w:val="0"/>
              <w:spacing w:before="0" w:after="283"/>
              <w:jc w:val="right"/>
              <w:rPr/>
            </w:pPr>
            <w:r>
              <w:rPr/>
              <w:t>76,918</w:t>
            </w:r>
          </w:p>
        </w:tc>
        <w:tc>
          <w:tcPr>
            <w:tcW w:w="15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258,307</w:t>
            </w:r>
          </w:p>
        </w:tc>
        <w:tc>
          <w:tcPr>
            <w:tcW w:w="161" w:type="dxa"/>
            <w:tcBorders/>
            <w:vAlign w:val="bottom"/>
          </w:tcPr>
          <w:p>
            <w:pPr>
              <w:pStyle w:val="TableContents"/>
              <w:bidi w:val="0"/>
              <w:spacing w:before="0" w:after="283"/>
              <w:jc w:val="left"/>
              <w:rPr>
                <w:sz w:val="4"/>
                <w:szCs w:val="4"/>
              </w:rPr>
            </w:pPr>
            <w:r>
              <w:rPr>
                <w:sz w:val="4"/>
                <w:szCs w:val="4"/>
              </w:rPr>
            </w:r>
          </w:p>
        </w:tc>
      </w:tr>
      <w:tr>
        <w:trPr/>
        <w:tc>
          <w:tcPr>
            <w:tcW w:w="3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121,454</w:t>
            </w:r>
          </w:p>
        </w:tc>
        <w:tc>
          <w:tcPr>
            <w:tcW w:w="15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121,454</w:t>
            </w:r>
          </w:p>
        </w:tc>
        <w:tc>
          <w:tcPr>
            <w:tcW w:w="15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302,843</w:t>
            </w:r>
          </w:p>
        </w:tc>
        <w:tc>
          <w:tcPr>
            <w:tcW w:w="161" w:type="dxa"/>
            <w:tcBorders/>
            <w:shd w:fill="CCEEFF" w:val="clear"/>
            <w:vAlign w:val="bottom"/>
          </w:tcPr>
          <w:p>
            <w:pPr>
              <w:pStyle w:val="TableContents"/>
              <w:bidi w:val="0"/>
              <w:spacing w:before="0" w:after="283"/>
              <w:jc w:val="left"/>
              <w:rPr/>
            </w:pPr>
            <w:r>
              <w:rPr/>
              <w:t> </w:t>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43,343</w:t>
            </w:r>
          </w:p>
        </w:tc>
        <w:tc>
          <w:tcPr>
            <w:tcW w:w="15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43,343</w:t>
            </w:r>
          </w:p>
        </w:tc>
        <w:tc>
          <w:tcPr>
            <w:tcW w:w="15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43,343</w:t>
            </w:r>
          </w:p>
        </w:tc>
        <w:tc>
          <w:tcPr>
            <w:tcW w:w="161" w:type="dxa"/>
            <w:tcBorders/>
            <w:vAlign w:val="bottom"/>
          </w:tcPr>
          <w:p>
            <w:pPr>
              <w:pStyle w:val="TableContents"/>
              <w:bidi w:val="0"/>
              <w:spacing w:before="0" w:after="283"/>
              <w:jc w:val="left"/>
              <w:rPr/>
            </w:pPr>
            <w:r>
              <w:rPr/>
              <w:t> </w:t>
            </w:r>
          </w:p>
        </w:tc>
      </w:tr>
      <w:tr>
        <w:trPr/>
        <w:tc>
          <w:tcPr>
            <w:tcW w:w="3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77,489</w:t>
            </w:r>
          </w:p>
        </w:tc>
        <w:tc>
          <w:tcPr>
            <w:tcW w:w="15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77,489</w:t>
            </w:r>
          </w:p>
        </w:tc>
        <w:tc>
          <w:tcPr>
            <w:tcW w:w="15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77,489</w:t>
            </w:r>
          </w:p>
        </w:tc>
        <w:tc>
          <w:tcPr>
            <w:tcW w:w="161" w:type="dxa"/>
            <w:tcBorders/>
            <w:shd w:fill="CCEEFF" w:val="clear"/>
            <w:vAlign w:val="bottom"/>
          </w:tcPr>
          <w:p>
            <w:pPr>
              <w:pStyle w:val="TableContents"/>
              <w:bidi w:val="0"/>
              <w:spacing w:before="0" w:after="283"/>
              <w:jc w:val="left"/>
              <w:rPr/>
            </w:pPr>
            <w:r>
              <w:rPr/>
              <w:t> </w:t>
            </w:r>
          </w:p>
        </w:tc>
      </w:tr>
      <w:tr>
        <w:trPr/>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(446,687</w:t>
            </w:r>
          </w:p>
        </w:tc>
        <w:tc>
          <w:tcPr>
            <w:tcW w:w="15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(449,520</w:t>
            </w:r>
          </w:p>
        </w:tc>
        <w:tc>
          <w:tcPr>
            <w:tcW w:w="15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(452,160</w:t>
            </w:r>
          </w:p>
        </w:tc>
        <w:tc>
          <w:tcPr>
            <w:tcW w:w="161" w:type="dxa"/>
            <w:tcBorders/>
            <w:vAlign w:val="bottom"/>
          </w:tcPr>
          <w:p>
            <w:pPr>
              <w:pStyle w:val="TableContents"/>
              <w:bidi w:val="0"/>
              <w:spacing w:before="0" w:after="283"/>
              <w:jc w:val="left"/>
              <w:rPr/>
            </w:pPr>
            <w:r>
              <w:rPr/>
              <w:t>) </w:t>
            </w:r>
          </w:p>
        </w:tc>
      </w:tr>
      <w:tr>
        <w:trPr/>
        <w:tc>
          <w:tcPr>
            <w:tcW w:w="3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 (deficit)</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(236,545</w:t>
            </w:r>
          </w:p>
        </w:tc>
        <w:tc>
          <w:tcPr>
            <w:tcW w:w="15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43,964</w:t>
            </w:r>
          </w:p>
        </w:tc>
        <w:tc>
          <w:tcPr>
            <w:tcW w:w="15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225,354</w:t>
            </w:r>
          </w:p>
        </w:tc>
        <w:tc>
          <w:tcPr>
            <w:tcW w:w="161"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consolidated balance sheet data give (1) the Organizational Transactions, and (2) the effectiveness of our amended and restated bye-laws as if they had occurred on October 31,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as adjusted consolidated balance sheet data give further effect to (i) our issuance and sale of 11,882,352 common shares in this offering at the initial public offering price of $17.00 per common share, after deducting underwriting discounts, commissions and offering and reorganization costs incurred by us, and (ii) the receipt of the net proceeds therefrom as described in the section titled Use of Proceeds included elsewhere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744414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shares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the related notes thereto, before deciding to invest in our common shares.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results of operations and prospects could be materially and adversely affected. In that event, the market price of our common shares could decline, and you could lose all or part of your investment. Please also see Special Note Regarding Forward-Looking Statements and Industry and Market Data.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a limited operating history, which may make it difficult for you to evaluate our current business and its likelihood of success and viability. If we are unable to manage our business and any fluctuations in our business effectively, our business and growth prospects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We completed clinical trials for our ASSURE WCD in March 2020, received our PMA for our ASSURE WCD on July 27, 2021 and fully commercially launched our ASSURE WCD in August 2022. Until the ASSURE WCD was approved by the U.S. FDA, the WCD market was served by a single competitor, which was providing the only other commercially available WCD for over 20 years and as a result, has a significantly longer commercial track record than our company. We are continuing to develop the capabilities and infrastructure to increase our commercial organization, distribution, supply chain and revenue cycle management capabilities to further strengthen our market penetration. However, there is no assurance as to the extent to which we will be able to continue to scale our business and expand our market penetration. Consequently, any predictions you make about our future success or viability may not be as accurate as they could be if we had a longer operating history. We may be unsuccessful for a number of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responses of our primary competitor, and other start-up or large companies that are emerging or may emerge as competitors in the future, who have or may develop more technologically advanced products, stronger relationships with healthcare providers, and greater capital, marketing and other resources than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ability to demonstrate the differentiation and advantages of our ASSURE WCD or other products we may develop in the future and their relative safety, efficacy and ease of use over other products in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size and geographic scope of our sales and marketing capabilities as compared to our competitors and the learning curve required for our direct sales force personnel to become effective in processing prescriptions of our products and capturing market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continue to provide products that are clinically effective, meet our desired product profile and are capable of being supplied at quantities and at a cost that addresses the clinical needs and commercial opportunities we target;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obtain sufficient and timely supplies of components necessary to manufacture our products or secure second source suppliers if our primary suppliers are unable to fulfill our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timely make improvements to our products in response to feedback from patients or from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insufficient financial or other resources to support our commercialization efforts;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and market acceptance of new, more effective or less expensive competing products and technologies.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a company with a limited operating history, we may encounter unforeseen expenses, difficulties, complications, delays and other known and unknown factors. The challenges we face in managing our evolving business place significant demands on our management, financial, operational, manufacturing, technological and other resources. In particular, rapid and continued growth increases the challenges involved in a number of areas, including recruiting and retaining sufficient skilled personnel, maintaining consistent and high-quality products and customer service to meet increased demand for our products, developing revenue cycle management, inventory management, payor contracting, supply chain and information technology infrastructure that can support the growing scale of our business and ensuring our compliance with the laws and regulations of new markets we may enter into. We are continuing to transition from a company with a research and development focus to a company with increasingly significant commercial activities. As we continue to grow, we may also need to invest significant resources to improve and expand our portfolio of technologies and solutions, scale up our manufacturing capabilities through our third-party suppliers and expand our distribution resources, including our network of APSs, which we may not be able to do so in a cost-effective manner or at all. We cannot assure you that any changes in scale, related quality or compliance assurance will be successfully implemented or that appropriate personnel will be available to facilitate the management of and changes to our business. If we do not adequately address these risks and difficulties, our ability to support and further grow our current commercial activities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business is affected by general macroeconomic and business conditions worldwide, including the impacts of inflation, increased interest rates, market instability and evolving regulation. If we do not effectively manage our business through the various challenges we face, we may not be able to execute on our business plan, respond to competitive pressures, take advantage of market opportunities, satisfy patient requirements or maintain high-quality products, which could have a material adverse effect on our business, financial condition, results of operations and prospects. 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a history of net losses, and there is no assurance as to when we will achieve profitability, if at all, even as we continue to grow and scale our business. As part of such continued growth, we may need to raise equity or debt financing in the future. If we are unable to raise capital when needed, we may be forced to delay or scale back our growth plans, which could materially and adversely affect our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development, manufacturing and distribution of medical technologies is capital intensive. From our inception in 2014 through the full commercial launch of our ASSURE WCD in August 2022, we made significant investments in research and development efforts, developing and running clinical trials to obtain regulatory approval for our ASSURE WCD, and enabling manufacturing activities in support of our product development efforts to prepare for the commercialization of our ASSURE WCD. Since the commercial launch of our ASSURE WCD, we have incurred, and expect to continue to incur, significant expenses related to our sales, marketing, product manufacturing and distribution functions and processes and establishing the infrastructure,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revenue cycle management capabilities, necessary to continue to support its commercialization. We have incurred net losses since our inception in 2014 largely due to these expenses. We had net losses of $40.9 million and $50.2 million for the six months ended October 31, 2024 and 2023, respectively, and as of October 31, 2024, we had an accumulated deficit of $446.7 million.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achieve profitability, we will need to continue to make investments to successfully grow and scale our business while managing our expenses. We expect to continue to incur losses for the next several years and there is no assurance as to when we will achieve profitability, if at all, or whether we will be able to maintain profitability, if achieved, in the future. Factors that have impacted, and that we expect will continue to impact, our ability to achieve profitability and our capital requirements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investments in recruiting, training and retaining our direct sales force and supporting our commercial infrastructure as our operations continue to grow;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the costs of manufacturing and distributing our ASSURE WCD and increase our gross margins through supply chain efficiencies and manufacturing process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reimbursement rates for WCDs, including as a result of improved market access and shifts in patient mix towards patients with longer wear duration;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reimbursement from payors, including Medicare, Medicaid and private payors, to cover the cost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revenue cycle management infrastructure and our ability to timely and accurately collect payments from payors, which may be impacted by seasonality due to the resetting of patient healthcare insurance plan deductibles at certain times of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collaborations with technology, commercial and clinical partners on favorable terms, if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prioritization and number of our research and development initiatives.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our expenses to continue to increase as our business grows, including as a result of our ongoing efforts to grow our sales and commercial organization, increase our brand awareness through programmatic and industry-specific advertising, conduct clinical studies to expand the clinical evidence supporting the efficacy of our ASSURE WCD and our broader Cardiac Recovery System platform and engage in research and development initiatives to enhance and broaden our suite of solutions. Our efforts to continue to grow and scale our business may not be successful or may prove more expensive than we currently anticipate, and we may not succeed in increasing our revenue sufficiently to offset these higher expenses or at all. In addition, as a public company, we will incur significant additional expenses that we did not incur as a private company, including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While we believe that our existing cash and cash equivalents (including the net proceeds from this offering) will be sufficient to fund our operating and capital needs for at least the next 12 months, we may need additional funding, which may include future equity and debt financing. We may not have accurately anticipated how much we will accomplish with the net proceeds from this offering, or we may experience lower than expected cash generated from operating activities or greater than expected capital expenditures, cost of revenue or operating expenses, and we may require additional funding in the future to further our growth plans. Any additional fundraising efforts may divert our management from their day-to-day activities, which may adversely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affect our ability to further commercialize our ASSURE WCD. Any disruptions in the financial markets or other adverse macroeconomic conditions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shareholders.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products or otherwise agree to terms unfavorable to us, any of which may have a material adverse effect on our business, financial condition, results of operations and prospects. Additionally, if we are capital constrained and unable to raise capital when needed, we may not be able to meet our obligations, which may limit or halt our ability to continue operations, or we may be forced to delay or scale back our growth plans, including our initiatives to increase market adoption of our ASSURE WCD and further our market penetration, which could materially and adversely affect our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recurring losses from operations and financial condition raise substantial doubt about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In Note 1 to our condensed consolidated financial statements for the six months ended October 31, 2024 and 2023 and Note 1 to our consolidated financial statements for the fiscal years ended April 30, 2024 and 2023 included elsewhere in this prospectus, we concluded that our history of continued operating losses and accumulated deficit raise substantial doubt about our ability to continue as a going concern. Similarly, our independent registered public accounting firm included an explanatory paragraph in its report on our consolidated financial statements as of and for the fiscal years ended April 30, 2024 and 2023, describing the existence of substantial doubt about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Our future viability is dependent on our ability to generate cash from our operating activities or to raise additional capital to finance our operations. There is no assurance that we will succeed in obtaining sufficient funding on terms acceptable to us to fund continuing operations, if at all. The perception that we might be unable to continue as a going concern may also make it more difficult to obtain financing for the continuation of our operations on terms that are favorable to us, or at all, and could result in the loss of confidence by investors, suppliers and employees. Our consolidated financial statements do not include any adjustments that might result from the outcome of this uncertainty. If we are unable to continue as a going concern, we may have to liquidate our assets and may receive less than the value at which those assets are carried on our consolidated financial statements, and it is likely that our investors will lose all or a part of their investment.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generate revenue primarily from the lease of our ASSURE WCD as part of our Cardiac Recovery System platform, and we are therefore highly dependent on our ASSURE WCD for our continued success. </w:t>
      </w:r>
    </w:p>
    <w:p>
      <w:pPr>
        <w:pStyle w:val="TextBody"/>
        <w:bidi w:val="0"/>
        <w:spacing w:before="240" w:after="0"/>
        <w:jc w:val="left"/>
        <w:rPr>
          <w:rFonts w:ascii="Times New Roman" w:hAnsi="Times New Roman"/>
          <w:sz w:val="20"/>
        </w:rPr>
      </w:pPr>
      <w:r>
        <w:rPr>
          <w:rFonts w:ascii="Times New Roman" w:hAnsi="Times New Roman"/>
          <w:sz w:val="20"/>
        </w:rPr>
        <w:t xml:space="preserve">We generate revenue primarily by leasing our ASSURE WCD to patients for a fixed amount on a month-to-month basis as part of our Cardiac Recovery System platform. We expect that revenues from our ASSURE WCD and associated products and services delivered as part of our Cardiac Recovery System platform will continue to account for nearly all of our revenue for the foreseeable future. Our ability to execute our growth strategy and become profitable will significantly depend upon educating healthcare providers on the clinical efficacy and diagnostic utility of WCD therapy, broadening healthcare providers awareness of WCD-eligible populations, advancing the adoption of our ASSURE WCD and increasing our brand awareness, including through peer-to-peer education and effectively engaging with payors to educate them of the benefits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Cardiac Recovery System platform and optimize reimbursement. We may incur significant expenses in our efforts to engage with healthcare providers to broaden awareness of the benefits of our ASSURE WCD, and there is no assurance that such efforts will lead to increased adoption of our ASSURE WCD or that we will generate sufficient revenue to offset the expenses incurred in connection with such efforts. In addition, some healthcare providers may have a preference for other treatment options or may be reluctant to alter their practice patterns and undergo the training and other transition processes, including updating billing procedures, required to enable them to prescribe our ASSURE WCD to their patients. Additionally, patients may decide to not utilize, and some payors may decide not to provide reimbursement for, our ASSURE WCD if, among other potential reasons, they believe our pricing is too high or that alternative devices are either more clinically efficacious, cost-effective or more comfortable to use than our product. </w:t>
      </w:r>
    </w:p>
    <w:p>
      <w:pPr>
        <w:pStyle w:val="TextBody"/>
        <w:bidi w:val="0"/>
        <w:spacing w:before="240" w:after="0"/>
        <w:jc w:val="left"/>
        <w:rPr>
          <w:rFonts w:ascii="Times New Roman" w:hAnsi="Times New Roman"/>
          <w:sz w:val="20"/>
        </w:rPr>
      </w:pPr>
      <w:r>
        <w:rPr>
          <w:rFonts w:ascii="Times New Roman" w:hAnsi="Times New Roman"/>
          <w:sz w:val="20"/>
        </w:rPr>
        <w:t xml:space="preserve">We derive nearly all our revenue from the direct billing of various third-party payors, including Medicare, Medicaid, private payors and other healthcare-related organizations, for the lease of our ASSURE WCD to patients as part of our Cardiac Recovery System platform. We also bill patients for co-insurance payments and deductibles. As such, our cash flows and our ability to generate revenue depend on our ability to obtain and maintain broad in-network payor coverage of and optimize reimbursement for our ASSURE WCD. Patients are unlikely to use our product unless coverage is provided and reimbursement is adequate to cover a significant portion of the cost. As a result, healthcare providers may be reluctant to adopt our product for patients covered by non-contracted insurance policies because of the uncertainty surrounding reimbursement. Our gross margin is also affected by payors reimbursement rates for our ASSURE WCD, as well as our ability to increase our reimbursement realization. Although reimbursement rates for WCDs have generally increased in recent years, there is no assurance that they will remain at or increase from historical levels. A decrease in reimbursement rates for our ASSURE WCD, or the introduction of other limitations to payors coverage for our ASSURE WCD, could adversely affect our results of operations and financial condition. For more information on factors that may affect our reimbursement rates, see also Our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 Additionally, as we continue to scale our business, our ability to achieve profitability will depend on our efforts to increase our reimbursement realization for our ASSURE WCD, including through achieving manufacturing process improvements and supply chain efficiencies. If we are unable to achieve such efficiencies, including as a result of increased costs of manufacturing and distributing our products such as increased pricing of materials and electronics components, labor rates, shipping rates and inflation, our ability to grow our business could be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business is dependent upon healthcare providers, hospitals and patients adopting our solutions, and if we fail to obtain and maintain broad adoption, our business would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execute our growth strategy and become profitable will depend on our ability to educate healthcare providers, hospitals and patients on the benefits of our ASSURE WCD and associated products and services delivered as part of our Cardiac Recovery System platform over the existing product and services in the market. There is no assurance that the products and solutions we offer through our Cardiac Recovery System platform or other potential products we may develop in the future will achieve and maintain widespread market adoption over the long term or at all. Market acceptance of the solutions and services we provide through our Cardiac Recovery System platform or other potential products we may develop may be negatively impacted if healthcare providers, hospitals and patients do not perceive WCDs, including our ASSURE WCD, to be useful, safe, effective, reliable and trustworthy or do not perceive the advantages of ASSURE WCD over our main competitor, or if we are unable to provide adequate customer service and sufficient training to patients or effectively harmonize our products with healthcare providers and processes in which we operate. We are currently engaged in a post-approval study of our ASSURE WCD and may in the future engage in additional clinical trials and other clinical initiatives to support additional indications and stronger guideline recommendations for WCD therapy and to obtain regulatory approvals to market our products in new markets. Any studies we, or third parties that we sponsor, may conduct may be expensive, time consuming and may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yield positive results. Negative clinical research results from past, current or future clinical studies or negative publicity or an adverse change to published or unpublished guidelines or recommendations from third parties (including, without limitation, key opinion leaders, medical societies and clinical advisory boards) relating to the use, clinical benefit or risk profile of WCDs in general, including our ASSURE WCD, generally could result in negative perception of the efficiency and safety of our products and affect our brand and reputation. Healthcare providers play a significant role in determining the course of a patients treatment and, as a result, the type of product that will be used to treat a patient. If we are not successful in convincing healthcare providers of the merits of our ASSURE WCD, they may not prescribe it or recommend it to other healthcare providers and we may be unable to increase revenue, sustain our growth or achieve profitability.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believe healthcare providers may not adopt our ASSURE WCD unless they determine, based on their personal experience, recommendations from other healthcare providers, available clinical data and published peer-reviewed journal articles, that our ASSURE WCD is an attractive alternative to our competitors products. Healthcare providers may be hesitant to adopt or switch to our ASSURE WCD for the following reasons,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long-standing relationships with competitors and distributors that sell other products and their competitive responses and negative selling efforts aimed at our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experience with our products and concerns that we are relatively new to the WCD industry, or concerns that our competitors have greater resources than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reluctance to change to or use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liability risk generally associated with the use of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clinical evidence regarding the clinical benefits of our ASSURE WCD and WCDs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perception that the clinical evidence for our products is not sufficient or that our products are unproven or experimental;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commitment that may be required to gain familiarity with and establish the infrastructure, including billing processes, required to adopt our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medical device industrys relationship with healthcare providers is under increasing scrutiny by federal, state and other foreign and domestic government agencies. In recent years, Congress, the Department of Justice (the DOJ), the Office of the Inspector General (the OIG) of the Department of Health and Human Services (the HHS) and the state attorneys general have issued subpoenas and other requests for information to, as well as initiated enforcement actions against and entered into settlements with, medical device manufacturers, primarily related to financial arrangements with healthcare providers, regulatory compliance and marketing and product promotional practices. Furthermore, the federal government and certain state governments have enacted legislation to limit and/or increase the transparency of interactions between medical device manufacturers and healthcare providers, pursuant to which we are or may be required by law to disclose certain payments and other transfers of value to healthcare providers or marketing expenditures both nationally and those licensed by certain states. Our failure to comply with laws, rules and regulations governing our relationships with healthcare providers, or an investigation into our compliance by the DOJ, the HHS OIG, state attorneys general or other government agencies, could significantly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Additionally, adoption of our products may be directly influenced by a number of financial factors, including the extent to which our products have broad coverage from third-party payors and have well-established reimbursement codes and adequate reimbursement rates. The efficacy, safety, performance, patient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benefits and cost-effectiveness of our solutions, on a stand-alone basis and relative to competing products and/or services will determine the availability and level of reimbursement received by us. There is no assurance that we will be able to obtain and maintain adequate levels of coverage and reimbursement for our products. In particular, as we seek to expand into new markets in the future, including select international markets, we may be subject to different, and potentially conflicting requirements, to obtain the necessary coverage and reimbursement for our products. Complying with various coverage and reimbursement requirements in each jurisdiction in which we distribute our products may be costly, and we may face difficulty in adequately adjusting our business to comply with any diverging requirements, which could hinder our ability to expand our market reach or launch new products. In order to generate revenue, we will need to target potential prescribers of our products, such as hospitalists, cardiologists and other healthcare providers, as well as potential end-users of our products with whom we have had little contact, which may require significant marketing and sales efforts. Even if we succeed in increasing adoption of our products by healthcare providers and hospitals, maintaining and creating new relationships with third-party payors and developing and commercializing new features or indications for our products we may be unable to generate sufficient revenue to achieve or sustain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The revenue we generate from distributing our ASSURE WCDs also varies, in part, based on the wear time of patients who are prescribed our ASSURE WCD. We bill third-party payors for patient use of our ASSURE WCDs based on their wear time. Although we have designed our ASSURE WCD to enhance the comfort of patients and allow for more extended wear times as part of their longer-term cardiac care, the actual wear time of our ASURE WCDs can vary due to a number of factors, many of which are beyond our control. The emergence of new medical technologies, therapies and other medical advances may reduce the need to wear a WCD for an extended period. Patients may shorten their wear time due to any inconvenience or discomfort from wearing a WCD or because they do not perceive the need to wear a WCD for an extended period of time and are willing to take on the heightened risk of experiencing a SCA from not wearing a WCD. Additionally, healthcare providers may elect to prescribe our ASSURE WCD for a more limited period of time because of concerns of reduced patient compliance with longer wear times, difficulties with obtaining reimbursement from third-party payors for extended wear times, changes in medical guidelines on recommended wear times or other clinical factors that result in the need to shorten or terminate the use of a WCD, such as a patient requiring an ICD sooner than anticipated. If the average wear time of our ASSURE WCD does not increase or is reduced over time, this may limit the revenue we generate, which may negatively impact our results of operations, cash flows and the growth of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and in other countries, patients who are prescribed medical treatment generally rely on third-party payors to reimburse all or part of the costs associated with their treatment. In the United States, third-party payors include government healthcare programs such as Medicare, Medicaid, TRICARE and the Veterans Administration and private payors. Coverage and adequate reimbursement from payors are critical to new product acceptance. As we expand our business and enter into new markets, we will need to enter into new payor contracts with national, state, regional and international payors. There is no assurance that we will be able to enter into new payor contracts, or renew our existing payor contracts upon their expiration, on terms acceptable to us, or at all. </w:t>
      </w:r>
    </w:p>
    <w:p>
      <w:pPr>
        <w:pStyle w:val="TextBody"/>
        <w:bidi w:val="0"/>
        <w:spacing w:before="240" w:after="0"/>
        <w:jc w:val="left"/>
        <w:rPr>
          <w:rFonts w:ascii="Times New Roman" w:hAnsi="Times New Roman"/>
          <w:sz w:val="20"/>
        </w:rPr>
      </w:pPr>
      <w:r>
        <w:rPr>
          <w:rFonts w:ascii="Times New Roman" w:hAnsi="Times New Roman"/>
          <w:sz w:val="20"/>
        </w:rPr>
        <w:t xml:space="preserve">Government healthcare programs and other third-party payors may change their coverage and reimbursement policies, as well as payment amounts, in a way that could prevent or limit reimbursement for our products, which would significantly harm our business. Coverage and reimbursement by a third-party payor may depend upon a number of factors, including macro-economic developments, as well as the third-party payors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supported by peer-reviewed publications and key opinion leaders;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United States, no uniform policy of coverage and reimbursement for products exists among third-party payors. Therefore, coverage and reimbursement for our products can differ significantly from payor to payor. As a result, obtaining coverage and reimbursement approval of a product from a government or other third-party payor is a time-consuming and costly process that typically requires us to provide supporting scientific, clinical and cost-effectiveness data for the use of our products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There is no assurance that we will be able to maintain adequate coverage and reimbursement for our ASSURE WCD in each of the markets it is distributed. </w:t>
      </w:r>
    </w:p>
    <w:p>
      <w:pPr>
        <w:pStyle w:val="TextBody"/>
        <w:bidi w:val="0"/>
        <w:spacing w:before="240" w:after="0"/>
        <w:jc w:val="left"/>
        <w:rPr>
          <w:rFonts w:ascii="Times New Roman" w:hAnsi="Times New Roman"/>
          <w:sz w:val="20"/>
        </w:rPr>
      </w:pPr>
      <w:r>
        <w:rPr>
          <w:rFonts w:ascii="Times New Roman" w:hAnsi="Times New Roman"/>
          <w:sz w:val="20"/>
        </w:rPr>
        <w:t xml:space="preserve">Market adoption of our products also depends on whether we are able to obtain reimbursement codes so that our products are eligible for reimbursement by payors such as Medicare and Medicaid. Our ASSURE WCD is currently reimbursable under the Healthcare Common Procedure Coding System (HCPCS) code K0606, which is well-established. HCPCS is a standardized system used by all U.S. insurance payors to provide descriptions of healthcare equipment, supplies and services. HCPCS codes are used by payors to identify what services are being billed and to assign payment rates to those specific services. HCPCS codes for durable medical equipment are assigned and managed by the CMS and a Medicare contractor responsible for Pricing, Data Analysis and Coding (PDAC). New products and product revisions must go through a coding verification process to confirm the products meet the requested HCPCS definitions. CMS or its contractor can also review and revise coding assignments if they believe a product no longer meets the assigned HCPCS definition. If the PDAC contractor determines one of our products does not meet the current HCPCS definition, it could remove all coding or assign a different HCPCS code with a lesser payment rate. This could have an adverse impact on our reimbursement rates,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were issued a Medicare Provider Number by the CMS, which enables us to bill Medicare for reimbursement for our ASSURE WCD as an accredited DME supplier to the extent the claim meets medical necessity and coverage requirements set forth by Medicare. Determinations of which products or services will be reimbursed under Medicare can be developed at the national level through a national coverage determination (NCD), by CMS, or at the local level through a local coverage determination (LCD), by one or more of the regional Medicare Administrative Contractors (MACs), which are private contractors that process and pay claims on behalf of CMS for different regions. In the absence of an NCD, the MAC with jurisdiction over a specific geographic region will have the discretion to make an LCD and determine the fee schedule and reimbursement rate within the region, and regional LCDs may not always be consistent in their determinations. Currently, no NCD has been issued with respect to products reimbursed pursuant to HCPCS Code K0606, so reimbursement for our ASSURE WCD will depend on the medical necessity and coverage requirements set forth with respect to K0606 in the relevant LCD. Reductions in reimbursement rates, if enacted, could have a material adverse effect on our business. Further, a reduction in coverage by Medicare could cause some commercial third-party payors to implement similar reductions in their coverage or level of reimbursement of our products. Given the evolving nature of the healthcare industry and on-going healthcare cost reforms, we may be subject to changes in the level of coverage for our products by government healthcare programs, once approved for commercial sales, and unfavorable coverage determinations at the national or local level could adversely affect our business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healthcare reform legislation or regulation may be proposed or enacted in the future that may adversely affect such policies and amounts. Changes in the healthcare industry directed at controlling healthcare costs or perceived over-utilization of cardiac monitoring products and services in ambulatory care environments could reduce the volume of demand for our products. If more healthcare cost controls are broadly instituted throughout the healthcare industry, the volume of cardiac monitoring solutions prescribed could decrease, resulting in pricing pressure and declining demand for our products.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quarterly and annual results may fluctuate significantly and may not fully reflect the underlying performance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 in quarterly and annual results may decrease the value of our common shares. Factors that may cause fluctuations in our quarterly and annual results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our ASSURE WCD and other products and solutions we may develop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marketing approval for our ASSURE WCD in international markets we enter in the future or for other products and solutions we may develop in the future, and the timing and scope of any such approvals we may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reimbursement for our ASSURE WCD or any future product candidates at acceptable reimbursement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reimbursement for our products and solutions through government healthcare programs at acceptable reimbursement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our ASSURE WCD or any future product candidates, which may vary depending on the quantity of production and the terms of our agreements with manufacturers and other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hire, train and retain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timing of costs and expenses related to the maintenance and expansion of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future pricing policies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demand for our ASSURE WCD or any future product candidates that receive necessary marketing and other regulatory approvals, which may vary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or extraordinary external events, such as a recession;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regulatory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associated with unforeseen product quality issues;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or failure of clinical trials or post-approval studies for our ASSURE WCD or any future product candidates or competing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change in the competitive landscape of our industry, including consolidation amongst our competitors or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or other claims against us for intellectual property infringement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associated with indemnification obligations to third parties that are subject to litigation or claims, including in relation to intellectual property infringement, or incur other losses as a result of their use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as necessary;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advances and trends in new technologies and industry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revenue is subject to seasonality as our billings and collections efforts during January and February tend to be lower because of resetting annual patient healthcare insurance plan deductibles. In addition, as our sales grow in the United States and any international markets we may enter into in the future, we may experience seasonality based on holidays, vacations and other factors. 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shares could decline substantially. Such a share price decline could occur even if we meet any previously publicly-stated guidance we may have provided.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are unable to manage the anticipated growth of our business, our future revenue and operating results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Any growth that we experience in the future could provide challenges to our organization, requiring us to expand our sales personnel and general and administrative infrastructure. In addition to the need to establish effective sales, marketing, patient support and clinical operations capabilities, our future growth will impose significant added responsibilities on our management, including the need to identify, recruit, train and integrate additional employees. Rapid expansion in personnel could mean that less experienced people market and offer our products, which could result in inefficiencies, unanticipated costs and cause disruptions to our operations. Additionally, rapid and significant growth may strain our administrative and operational infrastructure. Our ability to manage our business and growth will require us to continue to improve our operational, financial and management controls, reporting systems and procedures. The time and resources required to optimize these systems and procedures are uncertain, and failure to complete optimization in a timely and efficient manner could adversely affect our operations. If we are unable to manage our growth effectively, it may be difficult for us to execute our business strategy and our business could be harmed.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clinical study initiatives may be complex, lengthy, expensive and carry uncertain outcomes. Future trials and studies by us or others may fail to replicate positive results observed to date. </w:t>
      </w:r>
    </w:p>
    <w:p>
      <w:pPr>
        <w:pStyle w:val="TextBody"/>
        <w:bidi w:val="0"/>
        <w:spacing w:before="240" w:after="0"/>
        <w:jc w:val="left"/>
        <w:rPr>
          <w:rFonts w:ascii="Times New Roman" w:hAnsi="Times New Roman"/>
          <w:sz w:val="20"/>
        </w:rPr>
      </w:pPr>
      <w:r>
        <w:rPr>
          <w:rFonts w:ascii="Times New Roman" w:hAnsi="Times New Roman"/>
          <w:sz w:val="20"/>
        </w:rPr>
        <w:t xml:space="preserve">In order to support the continued adoption of our products, we will need to continue to invest in clinical study initiatives to grow the body of clinical evidence supporting the safety, efficacy and benefits of our products and solutions. We conduct our own clinical studies and provide support for third party-initiated trials that evaluate different aspects of the ASSURE WCD. As of the date of this prospectus, we have one ongoing active surveillance post-approval study, the ACE-PAS, which is continuing to enroll patients. There is no assurance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we will be able to complete patient enrollment for our ACE-PAS study or other clinical trials we may conduct in the future and delays in completing patient enrollment may result in increased costs or affect the timing or outcome of our ongoing and planned clinical trials. If we are unable to timely complete our clinical studies, our ability to continue to develop a sufficient body of clinical evidence to support the safety, efficacy and benefits of our products may be adversely affected, which may negatively impact adoption rates for our products. Clinical trials are difficult to design and implement, can take many years, can be expensive and carry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Additionally, clinical trials may produce different results depending on the type of statistical analysis used to report data results, such as per protocol analyses and intent-to-treat analyses. Results produced under one type of statistical analysis may not be consistent with or may not be as favorable as results produced under alternative types of statistical analysis. For example, in the VEST study published in 2018, initial intention-to-treat analysis of WCD therapy did not indicate a statistically significantly lower rate in sudden arrhythmic death when compared to treatment through GDMT alone, whereas the as-treated analysis showed that a significantly lower percentage of patients died when they were wearing the WCD than when they were not. If any studies conducted by third parties on any of our products produce results that are not as favorable as the findings in the clinical trials we conduct, the adoption of our products could be impeded and our reputation in the medical community may be damaged, which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failure to establish the safety and efficacy of any additional products we may develop in the future would prevent receipt of regulatory clearance or approval and, ultimately, the commercialization of that product or indication for use. Even after any products are cleared or approved in the United States, commercialization of our products in foreign countries would require clearance, certification or approval by regulatory authorities in those countries. Clearance, certification or approval procedures vary among jurisdictions and can involve requirements and administrative review periods different from, and greater than, those in the United States, including additional pre-clinical studies or clinical trials. Adjusting our clinical trial procedures to satisfy the clearance, certification or approval requirements of different foreign jurisdictions may be costly and may result in delays in our ability to complete our clinical trials and commence the commercialization of our products in such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 initiation and completion of any of our clinical trials or investigations may be prevented, delayed or halted for numerous reasons. We may experience delays in future clinical trials or investigations for a number of reasons, which could adversely affect the costs, timing or successful completion of our clinical trials, including related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submit an Investigational Device Exemption (IDE) application to FDA, which must become effective prior to commencing certain human clinical trials of medical devices, and FDA may reject our IDE application and notify us that we may not begin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and other comparable foreign regulatory authorities may disagree as to the design or implementation of our clinical trials or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and/or institutional review boards (IRB) or other reviewing bodies may not authorize us or our investigators to commence a clinical trial or investigation, or to conduct or continue a clinical trial or investigation at a prospective or specific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or investigations may produce negative or inconclusive results, and we may decide, or regulators may require us, to conduct additional clinical trials or investigations or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subjects or patients required for clinical trials or investigations may be larger than we anticipate, enrollment in these clinical trials may be insufficient or slower than we anticipate, and the number of clinical trials or investigations being conducted at any given time may be high and result in fewer available patients for any given clinical trial or investigation, or patients may drop out of these clinical trials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third-party contractors, including those manufacturing products or conducting clinical trials or investigations on our behalf, may fail to comply with regulatory requirements or meet their contractual obligations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might have to suspend or terminate clinical trials or investigations for various reasons, including a finding that the subjects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to amend clinical trial protocols or conduct additional studies to reflect changes in regulatory requirements or guidance, which we may be required to submit to an IRB and/or regulatory authorities for re-examination;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IRBs, other reviewing bodies or other parties may require or recommend that we or our investigators suspend or terminate clinical research for various reasons, including safety signals or noncompliance with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or investigations may be greater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may not adhere to our clinical protocol or may drop out of a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recruit a sufficient number of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IRBs, or other reviewing bodies may fail to approve or subsequently find fault with the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policies or regulations of FDA or applicable foreign regulatory agencies may change in a manner rendering our clinical data insufficient for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or future products may have undesirable side effects or other unexpected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occurrences may significantly harm our business, financial condition, results of operations and prospects. In addition, many of the factors that cause, or lead to, a delay in the commencement or completion of clinical trials or investigations may also ultimately lead to the denial of regulatory approval of any future product candidates. Clinical trials and investigations must be conducted in accordance with the laws and regulations of the FDA and other applicable regulatory authorities legal requirements, regulations or guidelines, and are subject to oversight by these governmental agencies and IRBs or other regulatory bodies at the medical institutions where the clinical trials or investigations are conducted. In addition, clinical trials and investigations must be conducted with supplies of our devices produced under current good manufacturing practice, or cGMP, requirements and other regulations. Furthermore, we may rely on CROs, and clinical trial sites to ensure the proper and timely conduct of our clinical trials and we may have limited influence over their actual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limited experience supplying our ASSURE WCD in quantities and providing services on a broad scale that is both commercially successful and meets clinical needs, and production or service delays or shortfalls may occur, which could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As we fully commercially launched our ASSURE WCD in August 2022, we have limited experience in supplying our ASSURE WCD in commercial quantities and providing services on a broad scale that is both commercially successful and meets clinical needs. As a result, we may encounter production or service delays or shortfalls. Such production or service delays or shortfalls may be caused by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maintain the infrastructure necessary to drive our operational efficiency and support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key components of our ASSURE WCD are provided by a limited number of suppliers, and we do not currently maintain large inventory levels of these components; if we experience a shortage of or quality issues in any of these components, we would need to identify and qualify new supply sources, which could increase our expenses and result in manufacturing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suppliers and service providers may not be able to provide adequate coverage for new markets we intend to distribute our products to, and there is no assurance that we will be able to engage with new suppliers to cover such new markets on terms acceptable to us,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manufacturing partners are subject to state and federal regulations, including the FDAs Quality System Regulation (the QSR), for both the manufacture of our products and provision of our services, non-compliance with which could cause an interruption in our ability to manufacture and deliver our products and services;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increase our revenue significantly and scale our services, we will be required to attract, hire, train and retain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unable to keep up with demand for our products, including our ASSURE WCD, our revenue could be negatively impacted, market adoption of our products could be harmed and we may not be able to compete against our current or future competitors. We utilize a lease business model, whereby when a patients indicated wear time has concluded, our ASSURE WCDs are returned for reprocessing and reintroduction into the distribution network. Patients are typically prescribed our ASSURE WCDs for 40 to 90 days, during which time the patient wears the ASSURE WCD primarily at home. Upon conclusion of the prescription period, the patient must return our ASSURE WCD so that we can refurbish and recondition the equipment. We rely on a third-party manufacturer to recondition our used ASSURE WCDs. If our patients fail to return their equipment on time or at all or if the equipment is severely damaged requiring extensive repairs and we are unable to timely deploy the equipment for the next customers use, then our business, financial condition, results of operations and prospects could be adversely affected. Although historically we have not experienced any material losses due to damaged or unreturned equipment, there is no assurance that we will not be adversely affected by such losses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facilities and processes of our third-party suppliers are subject to unannounced FDA and state regulatory inspections for compliance with the QSR. Developing and maintaining a compliant quality system is time consuming and expensive. Failure to maintain compliance with, or not fully complying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of the FDA and state regulators could result in enforcement actions against us or our third-party suppliers, which could include the issuance of warning letters, seizures, prohibitions on product sales, recalls and civil and criminal penalties. Additionally, our third-party suppliers have in the past and may in the future receive 483 letters or warning letters from the FDA for violations of the FDAs requirements. If our third-party suppliers fail to adequately rectify any such violations, they may be subject to fines or penalties, which could significantly impact our manufacturing supply and provision of services and impair our reputation and financial results.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depend on a limited number of third-party suppliers and contract manufacturers to manufacture and recondition our ASSURE WCD and its components, which could make us vulnerable to supply shortages and price fluctuations that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outsource the manufacturing of our ASSURE WCD and all of its components to third-party suppliers, including contract manufacturers that manufacture garments, chargers, monitors, batteries, cables and various accessories for our ASSURE WCD. We also rely on a third-party manufacturing partner to recondition our ASSURE WCDs for use by subsequent patients. As a result, we depend on our third-party suppliers and contract manufacturers to provide us with materials and services in a timely manner that meet our quality, quantity and cost requirements. These suppliers and contract manufacturers may encounter problems during manufacturing for a variety of reasons, any of which could delay or impede their ability to meet demand for our products. Our reliance on third-party suppliers subjects us to a number of risks,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obtain sufficient quantities of components used in our products in a timely manner or on commercially acceptable terms, including shortages of off-the shelf commercial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the reconditioning of our ASSURE WCDs, which impacts the fleet of devices available to be deployed to new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supply interruptions resulting from disruptions or changes to, or discontinuations of, a suppliers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delays related to the evaluation and testing of products from alternative suppliers and corresponding regulatory 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the manufacturer or supplier to comply with the QSR and other relevant state or federal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 shipments resulting from uncorrected defects, reliability issues or a suppliers failure to consistently produce quality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party litigation or other claims for intellectual property infringement based on key components provided by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increased costs due to the inability of a manufacturer or supplier to provide or import components due to injunctions or import bans;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increased costs due to the need to secure components from alternative manufacturers or suppliers in order to secure appropriate intellectual property licenses or equivalent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fluctuations due to a lack of long-term supply arrangements with our suppliers for key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control the quality of components manufactured by our third-party suppliers;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protection measures, laws and business practices that favor local companies, tariffs, and other duties, especially in light of trade disputes between the United States and several foreign countries, that may impact the supply and costs of certain components that our third-party suppliers source from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controls, currency restrictions, and fluctuations in currency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social, and economic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the protection of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outbreak of contagious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and/or deflation;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adverse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disputes, terrorism, vandalism, cyberattacks, infrastructure failures, natural disasters, severe weather or work stoppages;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delivery by our suppliers due to changes in demand from us or their other customers and consequently, our inability to fulfill our contractual obligations to deliver our products to our end-users.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products, we may be unable to meet customer demand, which could harm our competitive position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ASSURE WCD, establishing additional or replacement suppliers for any of these materials, components or services, if required, could be time-consuming and expensive, and may result in interruptions in our operations and product delivery.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ASSURE WCD, the supply of our products to customers and the development of any future products will be delayed, limited or prevented, which could have material adverse effect on our business, financial condition, results of operations and prospects. Pandemics, such as the COVID-19 pandemic, other health crises, adverse weather conditions, natural disasters and accidents have in the past and may in the future result in supply chain disruptions that adversely affect our contract manufacturing partners ability to provide the supplies we require on a timely basis. Any significant delays or interruption in the supply of components and materials necessary for our products, or our inability to obtain substitute components or materials from alternate sources at acceptable terms and in a timely manner could impair our ability to meet demand for our products, fulfill our contractual obligations to deliver our products and harm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suppliers manufacturing facilities become damaged or inoperable, or if they are required to vacate a facility, they may be unable to manufacture our products or we may experience delays in production or an increase in costs, which could adversely affect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Facilities and equipment of our suppliers could be harmed or rendered inoperable by natural or man-made disasters, including fire, earthquake, terrorism, flooding, cyberattacks, power outages and other infrastructure failures. Any of these may render it difficult or impossible for our suppliers to manufacture products for some period of time. If our suppliers manufacturing facilities are inoperable for even a short period of time, the inability to manufacture our ASSURE WCD may result in harm to our reputation and our ability to achieve profitability. Our research and development facilities are subject to similar risks, and inability to access such facilities may result in interruptions to our research and development efforts for other products we are developing. Additionally, it may be costly and time-consuming to repair or replace our facilities and the equipment we use to conduct our research and development activities and manufacture our products.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Performance issues, service interruptions or price increases by our shipping carriers could adversely affect our business and harm our reputation and ability to provide our services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Expedited, reliable shipping is essential to our operations. We rely heavily on providers of transport services for reliable and secure point-to-point transport of our ASSURE WCD to our customers and for tracking of these shipments. In particular, this is because we employ a lease model whereby at the end of a prescription, each patient ships our ASSURE WCD back to our third-party manufacturing partner, who then reconditions the ASSURE WCD before it is redistributed to the next patient. Delays in the transport of our ASSURE WCDs to and from our suppliers could cause shortages in our inventory of ASSURE WCDs and adversely affect our ability to respond to customer demands. Should a carrier encounter delivery performance issues such as loss, damage or destruction of any ASSURE WCDs or components thereof, it would be costly to replace such systems or components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are unable to support demand for our current or future products or services, our business could suffer. </w:t>
      </w:r>
    </w:p>
    <w:p>
      <w:pPr>
        <w:pStyle w:val="TextBody"/>
        <w:bidi w:val="0"/>
        <w:spacing w:before="240" w:after="0"/>
        <w:jc w:val="left"/>
        <w:rPr>
          <w:rFonts w:ascii="Times New Roman" w:hAnsi="Times New Roman"/>
          <w:sz w:val="20"/>
        </w:rPr>
      </w:pPr>
      <w:r>
        <w:rPr>
          <w:rFonts w:ascii="Times New Roman" w:hAnsi="Times New Roman"/>
          <w:sz w:val="20"/>
        </w:rPr>
        <w:t xml:space="preserve">As we continue to commercialize our products and demand for our ASSURE WCD and associated products and services delivered as part of our Cardiac Recovery System platform or any future products or services increases, we will need to continue to expand our customer service, billing and systems processes and enhance our internal quality assurance program. Additionally, we will need to ensure that our third-party suppliers and service providers, including the third-party suppliers we rely on to manufacture and recondition our ASSURE WCDs, are able to provide adequate supplies and services to support increasing demand for our products. We cannot assure you that any increases in scale, related improvements and quality assurance will be successfully implemented or that appropriate personnel will be available to facilitate growth of our business. Failure to implement necessary procedures, transition to new processes or hire the necessary personnel could result in higher costs of processing data or inability to meet increased demand. There can be no assurance that we will be able to analyze data regarding patients clinically relevant health events on a timely basis at a level consistent with demand, quality standards and healthcare provider expectations. If we encounter difficulty meeting market demand, quality standards or healthcare provider expectations, our reputation could be harmed and our prospects and business could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successfully expand our sales and customer service resources, including hiring and retaining relevant personnel, and adequately address our customers needs, it could negatively impact our profitability and market acceptance of our ASSURE WCD and other products we may develop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team is comprised of approximately 70 direct sales representatives as well as more than 40 sales and clinical support professionals. Once a healthcare provider prescribes our ASSURE WCD to a patient, our direct sales team is supported by a contracted team of over 250 APSs who assist patients with fitting and training. As we continue to commercialize our products, we will need to grow and optimize the size and geographic scope of our sales and marketing capabilities, as well as our network of APSs, in order to develop broad brand awareness and increase market penetration. There is significant competition for qualified and experienced sales force personnel, as well as healthcare personnel who are able to assist with WCD-related training and patient fittings. Identifying and recruiting qualified personnel and training them in the application of our solutions, on relevant federal and state laws and regulations and on our internal policies and procedures require significant time, expense and attention. New hires require training and take time to achieve full productivity. If we fail to train new hires adequately, or if we experience high turnover in our sales force or network of APSs in the future, new hires may not become as productive as may be necessary to maintain or increase our sales. Upon completion of the training, our direct sales force personnel will require lead time in the markets in which they operate to grow their network of accounts and achieve the productivity levels we expect them to attain. Newly-contracted APSs may also require lead time before they are able to complete patient fittings at the levels of quality and efficiency we expect them to attain. In addition, in order to attract and maintain qualified personnel, we will need to offer competitive compensation and benefits packages to current and prospective employees. Our business may be harmed if our efforts to expand and train our sales force and grow our network of APSs do not generate a corresponding increase in revenue. In particular, we have in the past and expect in the future to enter into compensation arrangements with our commercial team that may include minimum guaranteed commissions, which may increase our compensation costs without a commensurate increase in revenue if our sales personnel do not operate as efficiently as expected. In particular, if we are unable to attract, hire, develop and retain talented sales personnel and APSs or if new sales personnel or APSs are unable to achieve desired productivity levels in a reasonable period of time, we may not be able to realize the expected benefits of this investment or increase our revenue. Moreover, to the extent we would consider hiring sales or marketing personnel from our competitors, we may be required to wait until applicable non-competition provisions have expired before deploying such personnel in restricted territories or incur costs to relocate personnel outside of such territories. We also may partner with technology, commercial and clinical partners to market and distribute our products and grow our brand. We have executed one distribution agreement with a DME supplier in order to facilitate billing and collections related to the distribution of our ASSURE WCD. We may also consider entering into other arrangements with third parties to perform certain sales, marketing, patient support and distribution services. There is no assurance of whether we will be successful in entering into arrangements with third parties to sell and market our ASSURE WCD or any future product candidates on terms that are favorable to us, if at all. We may have little control over such third parties, and any of them may fail to devote the necessary resources and attention to sell and market our ASSURE WCD or any future product candidates effectively. If we do not establish sales and marketing capabilities successfully, either on our own or in collaboration with third parties, in a cost-effective manner, we may not be able to maintain or grow sales of our ASSURE WCD or commercialize any future product candidates and our revenue may be materially adversely affected. In addition, since we have a limited history as a direct sales organization, we may not be as effective or efficient in utilizing our sales personnel as other companies with longer histories utilizing a direct sales organization. As a result, we may be required to restructure our sales organization to utilize our sales personnel more effectively and efficiently, which would be costly, may divert attention from management, and lead to both planned and unplanned turnover. If we are unable to expand our sales and marketing capabilities and our product-related educational initiatives domestically and internationally, we may be unable to effectively commercialize our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future revenues will also be impacted by our ability to provide high-quality customer service to address our customers needs. We may be unable to attract and retain sufficient personnel to maintain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effective customer service force and adequately train our personnel to ensure consistently high-quality customer service. If we are unable to adequately address our customers needs, it could negatively impact revenues generated by and market acceptance of our ASSURE WCD and other products we may develop in the future, and we may not generate sufficient revenue to achieve or sustain profitability.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the ASSURE WCD is not effective or if we or our competitors receive negative publicity about the effectiveness of WCDs, then our brand and reputation could suffer and our business could be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In the course of conducting our business, we must adequately address quality issues that may arise with our products, as well as defects in third-party components included in our products. We employ a rigorous manufacturing and supplier partner assessment, qualification, and selection process to target partners that meet the requirements of the FDA and the International Organization for Standardization, as well as quality standards supported by internal policies and procedures. While our quality assurance program monitors and maintains manufacturing and supplier partner performance through qualification and periodic reviews and audits, we may be unable to eliminate or mitigate quality control issues and associated liabilities. Lasting harm to our brand may be caused by actual or perceived quality issues even if we are able to subsequently address such issues.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our products or similar products offered by our competitors are involved in an instance of patient harm, even if it is through misuse of such products, it could result in decreased demand for our products and damage to our reputation. For example, our competitor has been subject to negative publicity from the media and medical journals relating to false alarms and inappropriate shocks delivered by their WCDs. Reports of device failures or other instances of patient harm relating to our products or similar products offered by our competitor could negatively impact demand and adoption rates for our ASSURE WCD or WCDs more generally, which could adversely affect our results of operations. This adverse impact may occur whether or not we are directly related to, or otherwise control, such events and even the mere perception of our involvement could dilute, tarnish or otherwise adversely affect our reputation and brand. </w:t>
      </w:r>
    </w:p>
    <w:p>
      <w:pPr>
        <w:pStyle w:val="TextBody"/>
        <w:bidi w:val="0"/>
        <w:spacing w:before="240" w:after="0"/>
        <w:jc w:val="left"/>
        <w:rPr>
          <w:rFonts w:ascii="Times New Roman" w:hAnsi="Times New Roman"/>
          <w:sz w:val="20"/>
        </w:rPr>
      </w:pPr>
      <w:r>
        <w:rPr>
          <w:rFonts w:ascii="Times New Roman" w:hAnsi="Times New Roman"/>
          <w:sz w:val="20"/>
        </w:rPr>
        <w:t xml:space="preserve">The rising popularity of social media and other consumer-oriented technologies has increased the speed and accessibility of information dissemination and given users the ability to organize collective actions more effectively, such as boycotts and other brand-damaging events. Many, if not all, social media platforms immediately publish their participants posts, often without filters or checks on the accuracy of the content posted. Any failure to respond quickly and effectively to negative or potentially damaging social media content about our products or our affiliates, regardless of the contents accuracy, could damage our reputation, which in turn could harm our business, prospects, financial condition and results of operations. The harm may be immediate without affording us an opportunity for redress or correction.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Billing for our products is complex, and we must dedicate substantial time and resources to the billing process. </w:t>
      </w:r>
    </w:p>
    <w:p>
      <w:pPr>
        <w:pStyle w:val="TextBody"/>
        <w:bidi w:val="0"/>
        <w:spacing w:before="240" w:after="0"/>
        <w:jc w:val="left"/>
        <w:rPr>
          <w:rFonts w:ascii="Times New Roman" w:hAnsi="Times New Roman"/>
          <w:sz w:val="20"/>
        </w:rPr>
      </w:pPr>
      <w:r>
        <w:rPr>
          <w:rFonts w:ascii="Times New Roman" w:hAnsi="Times New Roman"/>
          <w:sz w:val="20"/>
        </w:rPr>
        <w:t xml:space="preserve">Billing for medical devices and durable medical equipment is complex, time consuming and expensive. In connection with the distribution of our ASSURE WCD, we currently bill, and expect to continue to bill, several types of payors, including Medicare, Medicaid, private payors and other healthcare-related organizations, each of whom have different billing requirements, procedures and expectations. We are also required to bill patients for co-insurance payments and deductibles. As our business expands and we distribute our products into new markets, we may need to obtain new reimbursement codes, adapt our billing processes to more payors and invest additional resources into our billing infrastructure to ensure that claims are timely and accurately prepared and submitted according to the individual requirements of each payor. </w:t>
      </w:r>
    </w:p>
    <w:p>
      <w:pPr>
        <w:pStyle w:val="TextBody"/>
        <w:bidi w:val="0"/>
        <w:spacing w:before="240" w:after="0"/>
        <w:jc w:val="left"/>
        <w:rPr>
          <w:rFonts w:ascii="Times New Roman" w:hAnsi="Times New Roman"/>
          <w:sz w:val="20"/>
        </w:rPr>
      </w:pPr>
      <w:r>
        <w:rPr>
          <w:rFonts w:ascii="Times New Roman" w:hAnsi="Times New Roman"/>
          <w:sz w:val="20"/>
        </w:rPr>
        <w:t xml:space="preserve">Healthcare providers in the U.S. generally rely on third-party payors, principally Medicare, Medicaid and private payors, to cover and reimburse all or part of the cost of our ASSURE WCD. The revenue we can generate from the lease of our ASSURE WCD depends in large part on the availability of reimbursement from such payors. These payors may deny reimbursement if they determine that our ASSURE WCD was not medically necessary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patient or was not used in accordance with the payors coverage policy. A significant component of our operational efforts includes working with private payors to ensure positive coverage decisions for our product and investing in our revenue cycle management infrastructure to collect cash from payors. Additionally, we are reimbursed for the use of our ASSURE WCD based on patient wear time and are therefore dependent, to an extent, on patients complying with their prescriptions and wearing our ASSURE WCD for the time periods prescribed by their healthcare providers. Lack of patient compliance with prescribed wear times may also result in healthcare providers becoming less likely to prescribe our ASSURE WCDs at the same volumes we have experienced in the past, or at all, which would adversely impact our revenues and the growth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Additionally, as part of our collection efforts, we may face potential write-offs of doubtful accounts and long collection cycles, which could in turn adversely affect our profitability and financial condition. Factors that may render our billing and collection processes more uncertain or costly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differences between the submitted price for our products and the reimbursement rates of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federal and state regulations related to billing government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differences in coverage among payors and the effect of patient co-payments, co-insurance and deductibles;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incorrect or missing patient history, indications or billing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our billing activities require us to implement compliance procedures and oversee, train and monitor our employees and undertake internal review procedures to evaluate compliance with applicable laws, regulations and internal policies. We have made significant investments in our revenue cycle management processes and have partnered with a third-party DME supplier to perform certain billing and collection services. However, as our business continues to grow, we may face increasing billing complexities, and the potential uncertainties in obtaining payments for our products, could negatively affect our revenue and cash flow, our ability to achieve profitability, and the consistency and comparability of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Federal and state governments have contracted with private entities to audit and recover revenue resulting from payments made in excess of those permitted by government healthcare program rules. These entities include, but are not limited to, Recovery Audit Contractors that are responsible for auditing Medicare claims, Unified Program Integrity Contractors that are responsible for the identification of suspected fraud through medical record review and Medicaid Integrity Contractors, that are responsible for auditing Medicaid claims. We believe audits, inquiries, and investigations from these contractors and others will occur from time to time in the ordinary course of our business. We also may be subject to increased audits from commercial payors. Our efforts to be responsive to these audits, inquiries, and investigations may result in substantial costs and divert managements time and attention away from the operation of our business. Moreover, an adverse outcome with respect to any audit, inquiry or investigation may result in damage to our reputation, or in fines, penalties or other sanctions imposed on us. Such pending or future audits, inquiries, or investigations, or the public disclosure of such matters,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many instances, there are only limited publicly-available guidelines and methodologies for determining errors with certain payor audits. As a result, there can be a significant lack of clarity regarding required documentation and audit methodology. The clarity and completeness of each patient medical file, some of which is the work product of healthcare providers not employed by us, is essential to successfully challenging any payment denials. For example, certain provisions under CMS guidance manuals, local coverage determinations, and the Durable Medical Equipment Medicare Administrative Contractor (DME MAC) Supplier Manuals provide that clinical information from the patients medical record is required to justify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initial and ongoing medical necessity for the provision of DMEPOS. Some DME MACs, CMS staff and other government contractors have taken the position, that the patients medical record refers not to documentation maintained by the DMEPOS supplier but instead to documentation maintained by the patients healthcare providers and hospitals, and that clinical information created by the DMEPOS suppliers personnel and confirmed by the patients healthcare provider is not sufficient to establish medical necessity. If treating healthcare providers do not adequately document, among other things, their diagnoses and plans of care, the risks that the Company will be subject to audits and payment denials are likely to increase. Moreover, auditors interpretations of these policies are inconsistent and subject to individual interpretation, leading to significant increases in individual supplier and industry-wide perceived error rates. High error rates could lead to further audit activity and regulatory burdens, and could result in our making significant refunds and other payments to Medicare and other government programs. Accordingly, our future revenue and cash flows from government healthcare programs may be reduced. </w:t>
      </w:r>
    </w:p>
    <w:p>
      <w:pPr>
        <w:pStyle w:val="TextBody"/>
        <w:bidi w:val="0"/>
        <w:spacing w:before="240" w:after="0"/>
        <w:jc w:val="left"/>
        <w:rPr>
          <w:rFonts w:ascii="Times New Roman" w:hAnsi="Times New Roman"/>
          <w:sz w:val="20"/>
        </w:rPr>
      </w:pPr>
      <w:r>
        <w:rPr>
          <w:rFonts w:ascii="Times New Roman" w:hAnsi="Times New Roman"/>
          <w:sz w:val="20"/>
        </w:rPr>
        <w:t xml:space="preserve">Commercial payors also may conduct audits and may take legal action to recover alleged overpayments. We could be adversely affected in some of the markets in which we operate if the auditing payor alleges substantial overpayments were made to us due to coding errors or lack of documentation to support medical necessity determinations. We cannot currently predict the adverse impact these measures might have on our financial condition and results of operations, but such impact could be material.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our competitors are able to develop or market products and services that are more effective, or gain greater acceptance in the marketplace, than any products and services we develop, our commercial opportunities will be reduced or eliminated. </w:t>
      </w:r>
    </w:p>
    <w:p>
      <w:pPr>
        <w:pStyle w:val="TextBody"/>
        <w:bidi w:val="0"/>
        <w:spacing w:before="240" w:after="0"/>
        <w:jc w:val="left"/>
        <w:rPr>
          <w:rFonts w:ascii="Times New Roman" w:hAnsi="Times New Roman"/>
          <w:sz w:val="20"/>
        </w:rPr>
      </w:pPr>
      <w:r>
        <w:rPr>
          <w:rFonts w:ascii="Times New Roman" w:hAnsi="Times New Roman"/>
          <w:sz w:val="20"/>
        </w:rPr>
        <w:t xml:space="preserve">We operate in a competitive business environment that is evolving. Historically, the WCD market has been served by a single incumbent commercial product, the LifeVest WCD, marketed by ZOLL Medical Corporation (ZOLL), our primary competitor. As we continue to scale our business, ZOLL may take competitive actions against us, including competitive pricing actions and litigation challenges, such as intellectual property challenges. In the future, we may also face competition from new market entrants. For example, we are aware of one privately-held potential new entrant which is developing an adhesive-based external defibrillator that has yet to receive FDA approval. The development of new or more effective drug candidates could also negatively impact the adoption and average wear time of our WCD system. Healthcare providers who are accustomed to using the products of our primary competitor may be reluctant to try new products from a source with which they are less familiar. Larger medical device companies may also acquire, invest in or form alliances with smaller companies to diversify their product offerings and enhance their competitive position in the competitive business environment, including the WCD industry and industries for other related products and services. Other potential competitors are publicly traded, or are divisions of publicly traded, major medical device or technology companies that enjoy significant competitive advantages and may be able to deploy larger or more effective sales and marketing resources than we currently have. We may also face challenges in overcoming the long-standing preferences of healthcare providers for using the products of larger, more established companies. Competition with these companies could result in price-cutting, reduced profit margins and loss of market share, any of which would harm our business, financial condition, results of operations and prospects. Our competitors may also enjoy other competitive advantages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financial and other resources than us which enable them to market and discount their products more effectively than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large and established sales, marketing and worldwide distribution channels that have greater reach in both domestic and international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brand recognition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established business and financial relationships with a more expansive network of healthcare providers, hospitals and medical schools;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collaborations with key opinion leaders, medical societies and clinical advisory boards;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market share in the cardiac monitoring products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resources devoted to research and development of competing products and greater capacity to allocate additional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experience in obtaining and maintaining regulatory clearances and approvals for new products and product enhancements and commercializing new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larger patent portfolios and other intellectual property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Medical innovation is accelerating and the market for WCD products and services is becoming increasingly competitive. Our planned innovation pipeline includes apparel, hardware, software and service solutions to remotely and securely monitor and manage patients in an ambulatory care environment. We compete with a variety of companies offering alternative products and services for ambulatory cardiac solutions. Our ability to compete effectively depends on our ability to distinguish our company and our products from our competitors and their products, and includes such factors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safety and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detection algorithm sensitivity, specificity and false alarm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physical and psychological comfort and ease of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integrate within the patient monitoring ecosystem;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quality, breadth and ongoing generation of clinical evidence;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innovation, product enhancements and speed of innovation;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required to achieve PMA approval as well as to facilitate post-commercial initial inventory;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status and speed to market.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our ability to commercially compete in the WCD market will be impacted by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and healthcare provider connectivity and engagement;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post-event monitoring and emergency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marketing to and education of patients, physicians, other healthcare providers and hospitals;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product and brand recognition;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device reusability and durability;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reimbursement and payor coverage;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complexity in building up the remote cardiac monitoring (RCM) capabilities and logistics to support broad-based commercialization and service levels;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recruitment and retention of a qualified and experienced sales force.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competitors and potential competitors are better able to develop WCDs and related products than us or introduce more effective, more comfortable or less expensive WCDs and related products before we are able to introduce and commercialize our products, the products and services we offer may be rendered obsolete or non-competitive.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marketing and sales practices, as well as our interactions with healthcare providers, may entail risks that could result in significant liability, require us to change our business practices and restrict our operations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numerous domestic (federal, state and local) and foreign laws addressing fraud and abuse in the healthcare industry, including the federal False Claims Act, the Federal Anti-Kickback Statute, self-referral laws, the Foreign Corrupt Practices Act, the U.K. Bribery Act, FDA promotional restrictions, the federal Physician Payment Sunshine Act and state marketing and disclosure laws. Violations of these laws are punishable by criminal or civil sanctions, including substantial fines, imprisonment of responsible corporate officers, and exclusion from participation in government healthcare programs such as Medicare and Medicaid as well as health programs outside the U.S., and even alleged violations can result in the imposition of corporate integrity agreements or deferred prosecution agreements that could severely restrict or limit our business practices.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have implemented and will maintain an appropriate healthcare compliance program we cannot be certain that the program will adequately detect or prevent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Required changes could be costly and time consuming. </w:t>
      </w:r>
    </w:p>
    <w:p>
      <w:pPr>
        <w:pStyle w:val="TextBody"/>
        <w:bidi w:val="0"/>
        <w:spacing w:before="240" w:after="0"/>
        <w:jc w:val="left"/>
        <w:rPr>
          <w:rFonts w:ascii="Times New Roman" w:hAnsi="Times New Roman"/>
          <w:sz w:val="20"/>
        </w:rPr>
      </w:pPr>
      <w:r>
        <w:rPr>
          <w:rFonts w:ascii="Times New Roman" w:hAnsi="Times New Roman"/>
          <w:sz w:val="20"/>
        </w:rPr>
        <w:t xml:space="preserve">If our business practices or operations are found to be in violation of these laws or any other government regulations that apply to us, we may be subject to penalties, including, without limitation, civil and criminal penalties, damages, fines, imprisonment of responsible corporate officers, the curtailment or restructuring of our operations, or exclusion from government healthcare programs including Medicare and Medicaid, any of which could have a material adverse effect on our business, results of operations, financial condition and cash flows.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ability to compete depends on our ability to innovate successfully.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medical devices, including the WCD market, is marked by technological development and product innovation. Demand for our ASSURE WCD and associated products and services delivered as part of our Cardiac Recovery System platform, or other products and services that we are developing or may develop in the future could be diminished by equivalent or superior products and technologies offered by our competitors. If we are unable to innovate successfully, our products and services could become obsolete, and as a result, we may not be able to achieve profitability as customers purchase our competitors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In order to remain competitive, we must continue to enhance our existing products and services and develop new product offerings. We will need to ensure that our Cardiac Recovery System platform and other products we develop in the future can support extensions and enhancements in response to evolving patient needs. We can provide no assurance that we will be successful in monetizing our medical technologies, including our ASSURE WCD, developing new products or commercializing them in ways that achieve broad market acceptance. In addition, if we develop new products, the distribution of those products may reduce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generated from our existing products. Maintaining adequate research and development personnel and resources to meet the demands of the market is essential. If we are unable to develop new products, applications or features or improve our algorithms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our competitors may devote a considerably greater amount of funds to their research and development programs than we do, and those that do not may be acquired by larger companies that would allocate greater resources to research and development programs. Our failure or inability to devote adequate research and development resources or compete effectively with the research and development programs of our competitors could harm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Due to the significant resources required for the development of our products, we may expend our limited resources to pursue the development and commercialization of select products and fail to capitalize on other products that may be more profitable or for which there is a greater likelihood of success. </w:t>
      </w:r>
    </w:p>
    <w:p>
      <w:pPr>
        <w:pStyle w:val="TextBody"/>
        <w:bidi w:val="0"/>
        <w:spacing w:before="240" w:after="0"/>
        <w:jc w:val="left"/>
        <w:rPr>
          <w:rFonts w:ascii="Times New Roman" w:hAnsi="Times New Roman"/>
          <w:sz w:val="20"/>
        </w:rPr>
      </w:pPr>
      <w:r>
        <w:rPr>
          <w:rFonts w:ascii="Times New Roman" w:hAnsi="Times New Roman"/>
          <w:sz w:val="20"/>
        </w:rPr>
        <w:t xml:space="preserve">The initial focus of our Cardiac Recovery System platform is to serve high-acuity patients who require both continuous monitoring and therapy. We fully commercially launched our ASSURE WCD, the cornerstone of our Cardiac Recovery System platform, in August 2022 and have introduced various updates and complementary technologies and services related to our Cardiac Recovery System platform since then. We also recently launched our ASSURE wearable ECG as part of our efforts to expand into providing monitoring and connectivity solutions to patients who longer indicated for a WCD but who still require ongoing support. As of the date of this prospectus, we are also in various stages of research and development for other potential solutions and new indications for our technology. We seek to maintain a process of prioritization and resource allocation among our various research and development efforts to maintain a balance between advancing our ASSURE WCD and developing other current and any future cardiovascular solutions. Our decisions concerning the allocation of research, development, collaboration, management and financial resources toward particular products or therapeutic areas may not maximize our ability to generate potential profits, may not lead to the development of any viable commercial product and may divert resources away from other products and solutions tailored to other therapeutic areas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we may relinquish valuable rights to that product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products and solutions or misread trends in cardiovascular care and the wearable healthcare technology industry, our business, financial condition, results of operations and prospects could be materially and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outstanding debt may affect our ability to operate our business and secure additional financing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2024, we had an aggregate principal amount of $45.0 million outstanding under the Credit Agreement and Guaranty, dated as of September 29, 2023 (as amended from time to time, the Term Loan), among Perceptive Credit Holdings IV, LP, as administrative agent and as a lender, the other lenders party thereto, West Affum Holdings and Kestra Medical Technologies, Inc., as borrowers, and the guarantors party thereto. We must make significant quarterly interest payments under the loan agreement, which will divert resources from other activities. Our outstanding debt under the Term Loan is collateralized by substantially all of our assets and contains customary financial and operating covenants limiting our ability to, among other things, dispose of assets, undergo a change in control, merge or consolidate, enter into certain transactions with affiliates, make acquisitions, incur debt, incur liens, pay dividends, repurchase stock and make investments, in each case subject to certain exceptions. The covenants in the Term Loan, as well as in any future financing agreements into which we may enter, may restrict our ability to finance our operations and engage in, expand or otherwise pursue our business activities and strategies. The Term Loan also contains a minimum liquidity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covenant, and a minimum revenue covenant which increases on a quarterly basis through maturity of the Term Loan. Additionally, there are certain non-financial covenants. See Description of Certain Indebtedness and Note 7, </w:t>
      </w:r>
      <w:r>
        <w:rPr>
          <w:rFonts w:ascii="Times New Roman" w:hAnsi="Times New Roman"/>
          <w:i/>
          <w:sz w:val="20"/>
        </w:rPr>
        <w:t>Long Term Debt</w:t>
      </w:r>
      <w:r>
        <w:rPr>
          <w:rFonts w:ascii="Times New Roman" w:hAnsi="Times New Roman"/>
          <w:sz w:val="20"/>
        </w:rPr>
        <w:t xml:space="preserve"> to the consolidated financial statements included elsewhere in this prospectus. Our ability to comply with these covenants may be affected by a number of events, some of which may be beyond our control and future breaches of any of these covenants could result in a default under the loan agreement. If not waived, future defaults could cause all of the outstanding indebtedness under the loan agreement to become immediately due and payable and terminate commitments to extend further credit. 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See the section titled Description of Certain Indebtedness for more information on the Term Loan. </w:t>
      </w:r>
    </w:p>
    <w:p>
      <w:pPr>
        <w:pStyle w:val="TextBody"/>
        <w:bidi w:val="0"/>
        <w:spacing w:before="240" w:after="0"/>
        <w:jc w:val="left"/>
        <w:rPr>
          <w:rFonts w:ascii="Times New Roman" w:hAnsi="Times New Roman"/>
          <w:sz w:val="20"/>
        </w:rPr>
      </w:pPr>
      <w:r>
        <w:rPr>
          <w:rFonts w:ascii="Times New Roman" w:hAnsi="Times New Roman"/>
          <w:sz w:val="20"/>
        </w:rPr>
        <w:t xml:space="preserve">We may be able to incur significant additional indebtedness in the future. Although the Term Loan limits our ability and the ability of our present and future subsidiaries to incur additional indebtedness, the terms of the Term Loan permit us to incur significant additional indebtedness. In addition, the Term Loan does not prohibit us from incurring obligations that do not constitute indebtedness as defined therein. To the extent that we incur additional indebtedness or such other obligations, the risk associated with our substantial indebtedness described above, including our potential inability to service our debt, will increase. </w:t>
      </w:r>
    </w:p>
    <w:p>
      <w:pPr>
        <w:pStyle w:val="TextBody"/>
        <w:bidi w:val="0"/>
        <w:spacing w:before="240" w:after="0"/>
        <w:jc w:val="left"/>
        <w:rPr>
          <w:rFonts w:ascii="Times New Roman" w:hAnsi="Times New Roman"/>
          <w:sz w:val="20"/>
        </w:rPr>
      </w:pPr>
      <w:r>
        <w:rPr>
          <w:rFonts w:ascii="Times New Roman" w:hAnsi="Times New Roman"/>
          <w:sz w:val="20"/>
        </w:rPr>
        <w:t xml:space="preserve">If there were an event of default under the Term Loan relating to our outstanding indebtedness, the holders of the defaulted debt could cause all amounts outstanding with respect to that debt to be due and payable immediately. We cannot guarantee that our assets or cash flow would be sufficient to fully repay borrowings under our outstanding debt instruments if accelerated upon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Further, if we are unable to repay, refinance or restructure our indebtedness under our secured debt, the holders of such debt could proceed against the collateral securing that indebtedness. In addition, any event of default or declaration of acceleration under one debt instrument could also result in an event of default under one or more of our other debt instruments. </w:t>
      </w:r>
    </w:p>
    <w:p>
      <w:pPr>
        <w:pStyle w:val="TextBody"/>
        <w:bidi w:val="0"/>
        <w:spacing w:before="240" w:after="0"/>
        <w:jc w:val="left"/>
        <w:rPr>
          <w:rFonts w:ascii="Times New Roman" w:hAnsi="Times New Roman"/>
          <w:sz w:val="20"/>
        </w:rPr>
      </w:pPr>
      <w:r>
        <w:rPr>
          <w:rFonts w:ascii="Times New Roman" w:hAnsi="Times New Roman"/>
          <w:sz w:val="20"/>
        </w:rPr>
        <w:t xml:space="preserve">As a result, any default by us on our indebtedness could have a material adverse effect on our business, results of operations and financial condition.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depend on our senior management team and the loss of one or more key employees or an inability to attract and retain highly skilled employees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success depends largely on the continued services of key members of our executive management team and others in key management positions, as well as our ability to attract, motivate, develop and retain a sufficient number of other highly skilled personnel. Our senior management team has extensive experience in the medical device industry, and we believe that the depth of their experience is instrumental to our continued success. For example, the services and expertise provided by Brian Webster, our President and Chief Executive Officer, are critical to our overall management, as well as the continued development of our solutions, our culture, our strategic direction, our innovation and our operations. Our employees may terminate their employment with us at any time. If we lose one or more key employees, we may experience difficulties in competing effectively, developing our technologies and implementing our business strategy. We do not currently maintain key person life insurance policies on these or any of our employees.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research and development programs depend on our ability to attract and retain highly skilled engineers. We may not be able to attract or retain qualified engineers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us. If we hire employees from competitors or other companies, their former employers may attempt to assert that these employees or we have breached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resulting in a diversion of our time and resources and, potentially, damages. In addition, job candidates and existing employees often consider the value of the share awards they receive in connection with their employment. If the perceived value of our share awards declines, either because we are a public company or otherwise, it may harm our ability to recruit and retain highly skilled employees. Additionally, 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and scale our business. Potential obstacles include reduced adoption of our culture by new employees, limited ability to maintain consistency of culture within business teams, and failure to attract and retain leaders who support our culture and business plans. If we fail to attract new personnel or fail to retain and motivate our current personnel, our business, financial condition, results of operations and prospects could be materially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Security breaches, loss of data, unauthorized uses or disclosures, and other disruptions involving our systems, products or data could compromise sensitive information related to our business or patients, result in operational disruption, or prevent us from accessing critical information, exposing us to liability, and adversely affecting our business, financial condition, results of operation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our business, we, and certain of our vendors on our behalf, collect, transfer, process and store sensitive data, including legally-protected personally identifiable health information about patients. We also collect, transfer, process and store, and use additional third parties to collect, transfer, process and store on our behalf, sensitive confidential information, including intellectual property, other proprietary business information, and preclinical and clinical trial data, including that of our customers, payors and collaborative partners. We employ administrative, technical and physical controls to secure personally identifiable health information, and we maintain our applications and data utilizing a combination of public cloud platforms and software-as-a-service providers. These applications and data encompass a wide variety of critical information, including patient data collected and processed through the digital solutions and services offered as part of our Cardiac Recovery System platform, clinical evidence collected through our ASSURE Patient Registry, other research and development information, commercial information and business and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highly dependent on information technology networks and systems, including the internet, to securely process, transmit and store this critical information to ensure the effective operation of our business and the timely delivery of our solutions and services. For example, we rely on information technology networks to ensure that our digital solutions, such as our Heart Alert Services and ASSURE Assist services, are able to deliver timely critical alerts to healthcare providers and notify emergency services when therapy is administered to patients. Our third-party information technology systems may not remain available on terms acceptable to us and may require replacement, which could result in substantial operational expense, diversion of our resources, and reduced efficiency, any of which could result in any a material adverse effect on our business, financial condition, results of operations and prospects. Security breaches of our information technology infrastructure, including physical or electronic break-ins, computer viruses, attacks by hackers and similar breaches, can create system disruptions, shutdowns or unauthorized disclosure, access, use or modifications of confidential information, including patient information and trade secrets. The secure collection, use, processing, storage, maintenance, protection and transmission of this critical information are vital to our operations and business strategy, and we devote significant resources to protecting such information. Data security-related incidents and fraudulent activity are increasing in frequency, sophistication, and variety, and can originate from many sources, including third-party suppliers and nation-state actors. Our information technology and infrastructure, and those of our vendors, has been and will continue to be vulnerable to attacks by hackers or viruses or breaches due to employee error, malfeasance or other disruptions. While we have taken steps to identify critical and high-risk vulnerabilities to and protect our infrastructure and sensitive information from unauthorized access, disclosure, or other activity, and while we have implemented compliance measures along those lines, we continue to develop our policies and procedures for protecting such information, and there can be no assurance that these will prevent, detect, or mitigate such issues given the unpredictability of the timing, nature, and scope of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security-related incidents and fraudulent activity. Furthermore, some confidential and protected health information is transmitted to us by third parties, who may not implement adequate security and privacy measures. Our third-party vendors and other business partners may also experience breaches to their information technology systems that could lead to disruptions to our business and ability to deliver our solutions and services.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delivery of our digital solutions and services through our Cardiac Recovery System platform, we collect, process and analyze a substantial amount of patient data, including through our ASSURE Patient Registry. A security breach or privacy violation that results in a business interruption or leads to disclosure or modification of, or prevents or interferes with access to, patient information, including protected health information, could harm our reputation, compel us to comply with disparate U.S. state and other international breach notification laws, require us to verify the correctness of database contents and otherwise subject us to liability under laws that protect personal data, resulting in increased costs or loss of revenue.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including sensitive patient data. The loss of patient data and other information critical to our solutions and services as a result of data breaches could also impair our ability to grow our clinical evidence to support the continued development of our products. In addition, these breaches and other inappropriate access can be difficult to detect, and any delay in identifying them may lead to increased harm. We do not currently maintain cyber insurance, which could help to mitigate certain losses related to security events that may occur, and we have no assurance that we will be able to obtain such coverage in the future. Therefore, any breach or cyber incident may expose us to certain potential losses, damages or penalization with fines in an amount exceeding our resources. </w:t>
      </w:r>
    </w:p>
    <w:p>
      <w:pPr>
        <w:pStyle w:val="TextBody"/>
        <w:bidi w:val="0"/>
        <w:spacing w:before="240" w:after="0"/>
        <w:jc w:val="left"/>
        <w:rPr>
          <w:rFonts w:ascii="Times New Roman" w:hAnsi="Times New Roman"/>
          <w:sz w:val="20"/>
        </w:rPr>
      </w:pPr>
      <w:r>
        <w:rPr>
          <w:rFonts w:ascii="Times New Roman" w:hAnsi="Times New Roman"/>
          <w:sz w:val="20"/>
        </w:rPr>
        <w:t xml:space="preserve">Any such breach or interruption of our systems, or those of any of our third-party information technology partners, could compromise our networks or data security processes and sensitive information could be inaccessible or could be accessed by unauthorized parties, publicly disclosed, lost or stolen. Any such interruption in access, improper access, disclosure or other loss of information could result in legal claims or proceedings (such as class actions), liability under laws that protect the privacy of patient information, such as the federal Health Insurance Portability and Accountability Act of 1996 (HIPAA) and regulatory penalties (such as state data breach laws). Unauthorized access, loss or dissemination could also disrupt our operations, including our ability to perform our services, bill payors or patients, process claims and appeals, provide customer assistance services, conduct research and development activities, collect, process and prepare company financial information, provide information about our current and future solutions and engage in other patient and healthcare provider education and outreach efforts. Any such breach could also result in the compromise of our trade secrets and other proprietary information, which could adversely affect our business and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individually identifiable health information we collect, receive, store, access, transfer, process and use from patients and covered entity healthcare providers may be subject to limitations on use and disclosure, and may require us to obtain HIPAA-compliant authorizations or other consents from patients for such uses and disclosures, including use of patient information in connection with the ASSURE Patient Registry. To the extent we fail to collect necessary authorizations or consents to use or disclose such information, or to the extent our uses or disclosures of such information violate applicable laws that protect the privacy of patient information, including HIPAA, we may be subject to liability, legal claims or proceedings (such as class actions), fines, or penalties pursuant to such laws. </w:t>
      </w:r>
    </w:p>
    <w:p>
      <w:pPr>
        <w:pStyle w:val="TextBody"/>
        <w:bidi w:val="0"/>
        <w:spacing w:before="240" w:after="0"/>
        <w:jc w:val="left"/>
        <w:rPr>
          <w:rFonts w:ascii="Times New Roman" w:hAnsi="Times New Roman"/>
          <w:sz w:val="20"/>
        </w:rPr>
      </w:pPr>
      <w:r>
        <w:rPr>
          <w:rFonts w:ascii="Times New Roman" w:hAnsi="Times New Roman"/>
          <w:sz w:val="20"/>
        </w:rPr>
        <w:t xml:space="preserve">Our existing general liability and cybersecurity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service providers, fail to protect against unauthorized access, attacks (which may include sophisticated cyberattacks), and the mishandling of data, then our reputation, business, financial condition, results of operations and prospects could be materially and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subject to complex and rapidly evolving laws, regulations, rules, and standards relating to data privacy and security, and our failure to comply with such laws, regulations, rules and standards could adversely affect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Numerous federal and state laws, including state security breach notification laws, state health information privacy laws and federal and state consumer protection laws, as well as HIPAA, govern the collection, use and disclosure of personal information. For example, the California Consumer Privacy Act of 2018, as amended (CCPA), went into operation on January 1, 2020 and broadly defines personal information, affords California residents expanded privacy rights and protections and provides for civil penalties for violations and a private right of action related to certain data security breaches. These protections were expanded by the California Privacy Rights Act (CPRA), which was approved by California voters in November 2020 and became operational in most key respects on January 1, 2023. In addition, the My Health My Data Act of 2023 (MHMD) went into effect in Washington state on April 27, 2023 and protects personal health data that falls outside the ambit of HIPAA. Several states have enacted similar types of privacy laws and there are similar legislative proposals being advanced in other states, as well as in Congress. Our business is also subject to the Bermuda Personal Information Protection 2016 Act, and other international laws, such as the General Data Protection Regulation, which could also apply to our operations as we expand internationally. Failure to provide adequate privacy protections and maintain compliance with applicable privacy laws could result in significant penalties. </w:t>
      </w:r>
    </w:p>
    <w:p>
      <w:pPr>
        <w:pStyle w:val="TextBody"/>
        <w:bidi w:val="0"/>
        <w:spacing w:before="240" w:after="0"/>
        <w:jc w:val="left"/>
        <w:rPr>
          <w:rFonts w:ascii="Times New Roman" w:hAnsi="Times New Roman"/>
          <w:sz w:val="20"/>
        </w:rPr>
      </w:pPr>
      <w:r>
        <w:rPr>
          <w:rFonts w:ascii="Times New Roman" w:hAnsi="Times New Roman"/>
          <w:sz w:val="20"/>
        </w:rPr>
        <w:t xml:space="preserve">The interpretation and application of data protection laws, rules and regulations in the United States and elsewhere are often uncertain, contradictory and in flux, with new laws passing or entering into force on a regular basis. It is possible that these laws, rules and regulations may be interpreted and applied in a manner that is inconsistent with our practices or those of our distributors and partners.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could cause us to incur substantial costs or require us to change our business practices, systems and compliance procedures in a manner adverse to our business. In addition, certain of these laws, such as the CCPA, may provide for a private right of action with respect to certain data breaches. This private right of action may increase the likelihood of, or the risks arising from, data breach litigation.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subject to fines, penalties, or injunctions if we are determined to be promoting the use of our products for unapproved or off-label uses, resulting in damage to our reputation and our business. Further, 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business exposes us to potential product liability claims that are inherent in the provision of medical devices for cardiovascular support. Furthermore, if our customers are not sufficiently trained in the use of our products, they may misuse or ineffectively use our products, which may result in unsatisfactory patient outcomes or patient injury. Similarly, if we are unable to sufficiently train APSs who assist with customer fittings, our ASSURE WCD may be ineffective, or may result in patient discomfort, injury or unsatisfactory patient outcomes. Our ASSURE WCD has been approved by FDA for use in adult patients who are at risk for SCA and are not candidates for, or refuse, an ICD. However, we cannot prevent a healthcare provider from prescribing our devices off-label when they deem it appropriate. The use, misuse or off-label use of our products, including our ASSURE WCD, may in the future result in outcomes and complications potentially leading to product liability claims and harm to our reputation. If our products are defectively designed, manufactured or labeled, contains defective components or is misused, we may become subject to costly litigation initiated by healthcare providers,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hospitals and clinics where healthcare providers prescribing our products work or their patients and reputational harm. </w:t>
      </w:r>
    </w:p>
    <w:p>
      <w:pPr>
        <w:pStyle w:val="TextBody"/>
        <w:bidi w:val="0"/>
        <w:spacing w:before="240" w:after="0"/>
        <w:jc w:val="left"/>
        <w:rPr>
          <w:rFonts w:ascii="Times New Roman" w:hAnsi="Times New Roman"/>
          <w:sz w:val="20"/>
        </w:rPr>
      </w:pPr>
      <w:r>
        <w:rPr>
          <w:rFonts w:ascii="Times New Roman" w:hAnsi="Times New Roman"/>
          <w:sz w:val="20"/>
        </w:rPr>
        <w:t xml:space="preserve">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all of which would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Product liability claims are especially prevalent in the medical device industry, and regardless of the merit or eventual outcome,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litigation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or costly settlements with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2"/>
        <w:gridCol w:w="8981"/>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defense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new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 attention from pursuing our business strategy.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maintain product liability insurance, we may not have sufficient insurance coverage for future product liability claims. We may not be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our revenues. Product liability claims in excess of our insurance coverage would be paid out of cash reserves, harming our financial condition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If the FDA determines that our promotional materials, sales practices or training constitute improper promotion of an off-label use, they could request that we modify our training, sales practices or promotional materials or subject us to regulatory or enforcement actions, including the issuance or imposition of an untitled letter, warning letter, injunction, seizure, civil fine or criminal penalties. These types of enforcement actions could have a material adverse impact on our business, revenues and financial results. It is also possible that other federal or state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bear the risk of warranty claims on our products. </w:t>
      </w:r>
    </w:p>
    <w:p>
      <w:pPr>
        <w:pStyle w:val="TextBody"/>
        <w:bidi w:val="0"/>
        <w:spacing w:before="240" w:after="0"/>
        <w:jc w:val="left"/>
        <w:rPr>
          <w:rFonts w:ascii="Times New Roman" w:hAnsi="Times New Roman"/>
          <w:sz w:val="20"/>
        </w:rPr>
      </w:pPr>
      <w:r>
        <w:rPr>
          <w:rFonts w:ascii="Times New Roman" w:hAnsi="Times New Roman"/>
          <w:sz w:val="20"/>
        </w:rPr>
        <w:t xml:space="preserve">We bear the risk of warranty claims on our products. We may not be successful in claiming recovery under any warranty or indemnity provided to us by our suppliers or vendors in the event of a successful warranty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 against us by a customer or any recovery from such vendor or supplier may not be sufficient to cover our losses. In addition, warranty claims brought by our customers related to third-party components may arise after our ability to bring corresponding warranty claims against such suppliers expires, which could result in our inability to recover any costs incurred by us.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acquire other companies or technologies, which could divert our managements attention, result in additional dilution to our shareholders and otherwise disrupt our operations and harm our operating results. The failure to effectively manage acquisitions, investments, licenses or other strategic alliances, or the failure to integrate them with our existing business, could have a material adverse effect on our operating results, increase our debt or cause us to incur significant expense. </w:t>
      </w:r>
    </w:p>
    <w:p>
      <w:pPr>
        <w:pStyle w:val="TextBody"/>
        <w:bidi w:val="0"/>
        <w:spacing w:before="240" w:after="0"/>
        <w:jc w:val="left"/>
        <w:rPr>
          <w:rFonts w:ascii="Times New Roman" w:hAnsi="Times New Roman"/>
          <w:sz w:val="20"/>
        </w:rPr>
      </w:pPr>
      <w:r>
        <w:rPr>
          <w:rFonts w:ascii="Times New Roman" w:hAnsi="Times New Roman"/>
          <w:sz w:val="20"/>
        </w:rPr>
        <w:t xml:space="preserve">Our success depends on our ability to continually enhance and broaden our product offerings in response to changing customer demands, competitive pressures, technologies and market pressures. Accordingly, from time to time we may consider opportunities to acquire, make investments in or in-license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assimilating or integrating acquired or licensed technologies, products or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issues maintaining uniform standards, procedures, controls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costs associated with acquisitions or strategic alliances, including the assumption of unknown or contingent liabilities and the incurrence of debt or future write-offs of intangible assets or goodwill;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problems or liabilities with the businesses or products acquired;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managements attention from our core business and disruption of ongoing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effects on existing business relationships with suppliers and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entering new markets in which we have limited or no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losses related to investments in other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loss of key employees of acquired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legal and accounting compliance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 To date, the growth of our operations has been largely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Consolidation among commercial payors could result in payors eliminating coverage or demanding price concessions, which may affect our ability to offer our products at prices necessary to support our current business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commercial payor industry is undergoing significant consolidation. In recent years, a number of health insurers have merged or increased efforts to consolidate with other commercial payors. Insurers are also increasingly pursuing alignment initiatives with healthcare providers. Consolidation within the health insurance industry may result in insurers having increased negotiating leverage and competitive advantages, such as greater access to performance and pricing data. Our ability to negotiate prices and favorable terms with health insurers in certain markets could be affected negatively as a result of this consolidation. When payors combine their operations, the combined company may elect to reimburse our products at the lowest rate paid by any of the participants in the consolidation or use its increased size to negotiate reduced rates. If one of the payors participating in the consolidation does not provide reimbursement for our products, or provides reimbursement at reduced rates, the combined company may elect not to provide reimbursement for our products, or provide such reimbursement at reduced rates, which would adversely affect our operating results. In addition, the shift toward value-based payment models could be accelerated if larger insurers, including those engaging in consolidation activities, find these models to be financially beneficial. There can be no assurance that we will be able to negotiate favorable terms with payors and otherwise respond effectively to the impact of increased consolidation in the payor industry or vertical integration efforts.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management team has limited experience managing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financial condition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and may identify additional material weaknesses. If our remediation of the material weaknesses is not effective, or we fail to develop and maintain effective internal control over financial reporting, our ability to produce timely and accurate financial statements could be impaired, which could harm our business and negatively impact the value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Prior to completion of this offering, we have been a private company with limited accounting personnel to address our internal control over financial reporting. This lack of adequate accounting resources contributed to audit adjustments to our financial statements in the past. In connection with the preparation of our consolidated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maintain effective controls to ensure the financial statements were properly presented and classified for certain non-routine or complex transactions. Specifically, we did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0"/>
        <w:gridCol w:w="8985"/>
      </w:tblGrid>
      <w:tr>
        <w:trPr/>
        <w:tc>
          <w:tcPr>
            <w:tcW w:w="1220" w:type="dxa"/>
            <w:tcBorders/>
            <w:vAlign w:val="center"/>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previous years, prior to the issuance of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 </w:t>
      </w:r>
    </w:p>
    <w:p>
      <w:pPr>
        <w:pStyle w:val="TextBody"/>
        <w:bidi w:val="0"/>
        <w:spacing w:before="240" w:after="0"/>
        <w:jc w:val="left"/>
        <w:rPr>
          <w:rFonts w:ascii="Times New Roman" w:hAnsi="Times New Roman"/>
          <w:sz w:val="20"/>
        </w:rPr>
      </w:pPr>
      <w:r>
        <w:rPr>
          <w:rFonts w:ascii="Times New Roman" w:hAnsi="Times New Roman"/>
          <w:sz w:val="20"/>
        </w:rPr>
        <w:t xml:space="preserve">We have begun implementation of a plan to remediate these material weaknesses. These remediation measures are ongoing as of the date of this prospectus and include: hiring additional personnel, such as financial planning and accounting, compliance, information technology, and other professionals with appropriate levels of knowledge and experience; engaging a third parties to assist with technical accounting and in designing and implementing controls related to period-end financial reporting, segregation of duties and IT general controls; designing and implementing controls to properly present and classify non-routine or complex transactions; and enhancing IT governance processes. </w:t>
      </w:r>
    </w:p>
    <w:p>
      <w:pPr>
        <w:pStyle w:val="TextBody"/>
        <w:bidi w:val="0"/>
        <w:spacing w:before="240" w:after="0"/>
        <w:jc w:val="left"/>
        <w:rPr>
          <w:rFonts w:ascii="Times New Roman" w:hAnsi="Times New Roman"/>
          <w:sz w:val="20"/>
        </w:rPr>
      </w:pPr>
      <w:r>
        <w:rPr>
          <w:rFonts w:ascii="Times New Roman" w:hAnsi="Times New Roman"/>
          <w:sz w:val="20"/>
        </w:rPr>
        <w:t xml:space="preserve">We intend to evaluate current and projected resource needs on a regular basis and hire additional qualified resources as needed. Our ability to maintain qualified and adequate resources to support the Company and our projected growth will be a critical component of our internal control environment. </w:t>
      </w:r>
    </w:p>
    <w:p>
      <w:pPr>
        <w:pStyle w:val="TextBody"/>
        <w:bidi w:val="0"/>
        <w:spacing w:before="240" w:after="0"/>
        <w:jc w:val="left"/>
        <w:rPr>
          <w:rFonts w:ascii="Times New Roman" w:hAnsi="Times New Roman"/>
          <w:sz w:val="20"/>
        </w:rPr>
      </w:pPr>
      <w:r>
        <w:rPr>
          <w:rFonts w:ascii="Times New Roman" w:hAnsi="Times New Roman"/>
          <w:sz w:val="20"/>
        </w:rPr>
        <w:t xml:space="preserve">We are working to remediate the material weaknesses as efficiently and effectively as possible and expect full remediation could go beyond the fiscal year ended April 30, 2025. At this time, we cannot provide an estimate of costs expected to be incurred in connection with implementing this remediation plan; however, these remediation measures will be time consuming, incur significant costs, and place significant demands on our financial and operational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cannot assure you that the measures we have taken to date, and actions we may take in the future, will be sufficient to remediate the material weaknesses in our internal control over financial reporting or that they will prevent or avoid potential future material weaknesses.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in addition to applicable stock exchange listing requirements, investors may lose confidence in our financial reporting, and our common share price may decline as a result.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subject to risks from legal and arbitration proceedings that may prevent us from pursuing our business activities or require us to incur additional costs in defending against claims or paying damages. </w:t>
      </w:r>
    </w:p>
    <w:p>
      <w:pPr>
        <w:pStyle w:val="TextBody"/>
        <w:bidi w:val="0"/>
        <w:spacing w:before="240" w:after="0"/>
        <w:jc w:val="left"/>
        <w:rPr>
          <w:rFonts w:ascii="Times New Roman" w:hAnsi="Times New Roman"/>
          <w:sz w:val="20"/>
        </w:rPr>
      </w:pPr>
      <w:r>
        <w:rPr>
          <w:rFonts w:ascii="Times New Roman" w:hAnsi="Times New Roman"/>
          <w:sz w:val="20"/>
        </w:rPr>
        <w:t xml:space="preserve">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 even if ultimately resolved in our favor.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estimates of our market and forecasts of market growth included in this prospectus are based on a number of complex assumptions and estimates that may prove to be inaccurate, and even if the markets in which we compete achieve the forecasted growth, our business may not increase at similar rates, if at all. </w:t>
      </w:r>
    </w:p>
    <w:p>
      <w:pPr>
        <w:pStyle w:val="TextBody"/>
        <w:bidi w:val="0"/>
        <w:spacing w:before="240" w:after="0"/>
        <w:jc w:val="left"/>
        <w:rPr>
          <w:rFonts w:ascii="Times New Roman" w:hAnsi="Times New Roman"/>
          <w:sz w:val="20"/>
        </w:rPr>
      </w:pPr>
      <w:r>
        <w:rPr>
          <w:rFonts w:ascii="Times New Roman" w:hAnsi="Times New Roman"/>
          <w:sz w:val="20"/>
        </w:rPr>
        <w:t xml:space="preserve">The estimates and forecasts in this prospectus relating to, among other things, our total addressable market, our near-term achievable market and the expected growth in the WCD market are subject to significant uncertainty and may prove to be inaccurate. In particular, our estimates of our total addressable markets in the U.S. and outside the U.S. are based on a number of internal and third-party estimates and assumptions relating to, amongst other things, the number of patients who are at risk of suffering a SCA, are not immediately eligible for an ICD and are either currently using or may in the future use WCDs; the reimbursement rates for WCDs by Medicare and private payors in the U.S. and payors outside the U.S.; the average WCD patient wear time; and the use of WCDs over alternative treatments such as ICDs. In addition, our estimates of our total addressable markets in the U.S. and outside the U.S. both reflect the opportunities available to all current and potential participants in the market, and we cannot predict with precision our ability to address the potential demand for WCDs or the extent of market adoption of our ASSURE WCD over solutions offered by our current or future competitors. While we believe that our assumptions and the data underlying our estimates for our total addressable markets in the U.S. and outside the U.S. are reasonable, they may not be correct and the conditions supporting our assumptions or estimates may change at any time, thereby reducing the predictive accuracy of such underlying factors. Our estimated addressable markets in the U.S. and outside the U.S. may not materialize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many years, if ever. Accordingly, the forecasts of market growth included in this prospectus should not be taken as indicative of our future growth. </w:t>
      </w:r>
    </w:p>
    <w:p>
      <w:pPr>
        <w:pStyle w:val="TextBody"/>
        <w:bidi w:val="0"/>
        <w:spacing w:before="240" w:after="0"/>
        <w:jc w:val="left"/>
        <w:rPr>
          <w:rFonts w:ascii="Times New Roman" w:hAnsi="Times New Roman"/>
          <w:b/>
          <w:i/>
          <w:sz w:val="20"/>
        </w:rPr>
      </w:pPr>
      <w:r>
        <w:rPr>
          <w:rFonts w:ascii="Times New Roman" w:hAnsi="Times New Roman"/>
          <w:b/>
          <w:i/>
          <w:sz w:val="20"/>
        </w:rPr>
        <w:t xml:space="preserve">Macroeconomic conditions could materially adversely affect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Although reimbursement rates for WCDs, including our ASSURE WCD, have increased in recent years, adverse macroeconomic conditions could result in payors reducing reimbursement rates, which could negatively impact our profitability and cash flows. Such conditions could also reduce demand for our ASSURE WCD if they adversely affect insured customers ability to pay insurance deductibles and uninsured customers ability to lease our device. Other adverse impacts of recent macroeconomic conditions have been, and may continue to be, supply chain constraints, logistics challenges, liquidity concerns in the broader financial services industry, and fluctuations in labor availability. </w:t>
      </w:r>
    </w:p>
    <w:p>
      <w:pPr>
        <w:pStyle w:val="TextBody"/>
        <w:bidi w:val="0"/>
        <w:spacing w:before="240" w:after="0"/>
        <w:jc w:val="left"/>
        <w:rPr>
          <w:rFonts w:ascii="Times New Roman" w:hAnsi="Times New Roman"/>
          <w:sz w:val="20"/>
        </w:rPr>
      </w:pPr>
      <w:r>
        <w:rPr>
          <w:rFonts w:ascii="Times New Roman" w:hAnsi="Times New Roman"/>
          <w:sz w:val="20"/>
        </w:rPr>
        <w:t xml:space="preserve">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experience supply chain constraints, including difficulties obtaining a sufficient supply or increased prices of component materials used in our products. Increased interest rates may make access to credit more difficult, which may result in the insolvency of key suppliers, which would exacerbate supply chain challenges. Such supply chain constraints could cause us to fail to meet product demand or maintain our margins.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annual effective income tax rate can change materially as a result of changes in our mix of U.S. and non-U.S. earnings and other factors, including changes in tax laws and changes made by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Our overall effective income tax rate is equal to our total tax expense as a percentage of total earnings before tax. However, income tax expense and benefits are not recognized on a global basis but rather on a jurisdictional or legal entity basis. Losses in one jurisdiction may not be used to offset profits in other jurisdictions and may cause an increase in our tax rate. Changes in the mix of earnings (or losses) between jurisdictions and assumptions used in the calculation of income taxes, among other factors, could have a significant effect on our overall effective income tax rate.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subject to additional taxes if our transfer pricing arrangements are challenged or we fail to establish tax residency in Ireland.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transfer pricing arrangements that establish prices for our intercompany operations. However, our transfer pricing procedures are not binding on the applicable taxing authorities. No official authority in any jurisdiction has made a determination as to whether or not we are operating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such authoritys transfer pricing laws. Accordingly, a taxing authority could challenge our transfer prices and require us to adjust them to reallocate our income. Any change to the allocation of our income as a result of review by a taxing authority could have a negative effect on our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as described below, we intend for Kestra Medical Technologies, Ltd. to become a company resident in Ireland for Irish corporation tax purposes, if we fail to establish such residency in a timely manner, U.S. withholding taxes may apply to royalty payments paid by Kestra Medical Technologies, Inc. and its subsidiaries to West Affum Holdings Designated Activity Company. Such U.S. withholding taxes, if they were to apply, could have a significant effect on our effective tax rate and a negative effect on our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Taxing authorities may disagree with and may challenge our tax positions. If our tax positions are not sustained in the event of such challenge, we could be required to pay additional taxes, interest, penalties or other costs which could impact our results of operations and financial condition.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subject to taxation in Ireland and multiple other jurisdictions. As a result, any adverse development in the tax laws of Ireland or any of these jurisdictions or any disagreement with our tax positions could have a material adverse effect on our business, consolidated financial condition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West Affum Holdings Designated Activity Company is, and each of Kestra Medical Technologies, Ltd., West Affum Intermediate Holdings Corp. and West Affum Holdings Corp. intends to become, a company resident in Ireland for Irish corporation tax purposes. We believe that, as Irish tax resident entities, our status should improve our ability to maintain a competitive worldwide effective corporate tax rate; however, we cannot give any assurance as to what our effective tax rate will be because of, among other things, uncertainty regarding the tax policies of the jurisdictions where we operate. In general, under current Irish legislation, a company is regarded as resident for tax purposes in Ireland if it is incorporated in Ireland (unless broadly this is displaced by the terms of a double taxation treaty that Ireland has entered into) or it is centrally managed and controlled in Ireland. Trading income (active business income) of an Irish resident company is generally taxable at the Irish corporation tax rate of 12.5% (provided that the company is not part of a consolidated multinational group with more than EUR750 million of annual consolidated revenue in which case the company may be subject to Irish corporation tax at 15%). Non-trading income of an Irish resident company is taxable at a rate of 25% and capital gains at a rate of 33%. It is possible that in the future, whether as a result of a change in law or the practice of any relevant tax authority or as a result of any change in the conduct of our affairs, those companies could become, or be regarded as having become, tax resident in a jurisdiction other than Ireland. Should any of those companies cease to be Irish tax resident, they may be subject to a charge to Irish capital gains tax as a result of a deemed disposal of their assets. Our actual effective tax rate may vary from our expectation and that variance may be material. Additionally, the tax laws of Ireland, the United States and other jurisdictions could change in the future, and such changes could cause a material change in our effective tax rate. </w:t>
      </w:r>
    </w:p>
    <w:p>
      <w:pPr>
        <w:pStyle w:val="TextBody"/>
        <w:bidi w:val="0"/>
        <w:spacing w:before="240" w:after="0"/>
        <w:jc w:val="left"/>
        <w:rPr>
          <w:rFonts w:ascii="Times New Roman" w:hAnsi="Times New Roman"/>
          <w:sz w:val="20"/>
        </w:rPr>
      </w:pPr>
      <w:r>
        <w:rPr>
          <w:rFonts w:ascii="Times New Roman" w:hAnsi="Times New Roman"/>
          <w:sz w:val="20"/>
        </w:rPr>
        <w:t xml:space="preserve">A number of factors may increase our future effective tax rates,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jurisdictions in which profits are determined to be earned and taxed;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 of issues arising from tax audits with various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tax treaty benefits in one or more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valuation of our deferred tax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expense not deductible for tax purposes, including transaction costs and impairments of goodwill in connection with acquisitions;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available tax credits;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share-based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or the interpretation of such tax laws, and changes in generally accepted accounting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to the transfer pricing policies related to our structure.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Ireland is a Member State of the European Union (the EU). The EU has become increasingly active in the area of direct taxation in recent years, in some cases on foot of wider international tax initiatives such as the OECD BEPS (Base Erosion and Profit Shifting) initiative and in other cases unilaterally. A number of EU legislative tax measures have been implemented in recent years such as the Anti-tax Avoidance Directive, the EU Mandatory Disclosure Regime DAC6 requiring the reporting of certain cross-border arrangements, and the EU Global Minimum Tax Directive. There are also a number of proposed EU legislative tax measures such as the Business in Europe: Framework for Income Taxation (BEFIT) which proposes a new legislative framework for corporate taxation in the EU. Additionally, the EU Commission has carried out a number of investigations concerning unlawful EU State Aid involving tax measures in Member States, most notably in the European Court case of </w:t>
      </w:r>
      <w:r>
        <w:rPr>
          <w:rFonts w:ascii="Times New Roman" w:hAnsi="Times New Roman"/>
          <w:i/>
          <w:sz w:val="20"/>
        </w:rPr>
        <w:t xml:space="preserve">European Commission v Ireland and Apple Sales International </w:t>
      </w:r>
      <w:r>
        <w:rPr>
          <w:rFonts w:ascii="Times New Roman" w:hAnsi="Times New Roman"/>
          <w:sz w:val="20"/>
        </w:rPr>
        <w:t xml:space="preserve">(Case C-465/20 P) which was held in favor of the European Commission. State Aid is any aid granted by an EU Member State or through EU Member State resources in any form whatsoever which distorts or threatens to distort competition by favoring certain undertakings or the production of certain goods. Any of these proposed or actual legislative measures or EU law related actions could impact our tax treatment. </w:t>
      </w:r>
    </w:p>
    <w:p>
      <w:pPr>
        <w:pStyle w:val="TextBody"/>
        <w:bidi w:val="0"/>
        <w:spacing w:before="240" w:after="0"/>
        <w:jc w:val="left"/>
        <w:rPr>
          <w:rFonts w:ascii="Times New Roman" w:hAnsi="Times New Roman"/>
          <w:sz w:val="20"/>
        </w:rPr>
      </w:pPr>
      <w:r>
        <w:rPr>
          <w:rFonts w:ascii="Times New Roman" w:hAnsi="Times New Roman"/>
          <w:sz w:val="20"/>
        </w:rPr>
        <w:t xml:space="preserve">Our tax position could be adversely impacted by changes in tax rates generally, tax laws, tax treaties or tax regulations or changes in the interpretation of such laws, treaties or regulations by the tax authorities in Ireland, the United States and other jurisdictions. In addition, the tax authorities in any applicable jurisdiction may disagree with the positions we have taken or intend to take regarding the tax treatment or characterization of any of our transactions. </w:t>
      </w:r>
    </w:p>
    <w:p>
      <w:pPr>
        <w:pStyle w:val="TextBody"/>
        <w:bidi w:val="0"/>
        <w:spacing w:before="240" w:after="0"/>
        <w:jc w:val="left"/>
        <w:rPr>
          <w:rFonts w:ascii="Times New Roman" w:hAnsi="Times New Roman"/>
          <w:sz w:val="20"/>
        </w:rPr>
      </w:pPr>
      <w:r>
        <w:rPr>
          <w:rFonts w:ascii="Times New Roman" w:hAnsi="Times New Roman"/>
          <w:sz w:val="20"/>
        </w:rPr>
        <w:t xml:space="preserve">Failure to manage the risks associated with such changes, or misinterpretation of the laws relating to taxation, could result in increased charges, financial loss, including penalties, and reputational damage and materially and adversely affect our results, financial condition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are required to reclassify independent contractors as employees, we may incur additional costs and taxes which could adversely affect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engage independent contractors in our operations for whom we do not pay or withhold any federal, state or other employment tax. There are a number of different tests used in determining whether an individual is an employee, or an independent contractor and such tests generally take into account multiple factors. There can be no assurance that legislative, judicial, or regulatory (including tax) authorities will not introduce proposals or assert interpretations of existing rules and regulations that would change, or at least challenge, the classification of our independent contractors. Although we believe we have properly classified our independent contractors, the U.S. Internal Revenue Service or other U.S. federal or state authorities or similar authorities of a foreign government may determine that we have misclassified our independent contractors for employment tax or other purposes and, as a result, seek additional taxes from us or attempt to impose fines and penalties. If we are required to pay employer or withholding taxes with respect to prior periods with respect to or on behalf of our independent contractors, our operating costs will increase, which could adversely impact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240" w:after="0"/>
        <w:jc w:val="left"/>
        <w:rPr>
          <w:rFonts w:ascii="Times New Roman" w:hAnsi="Times New Roman"/>
          <w:b/>
          <w:i/>
          <w:sz w:val="20"/>
        </w:rPr>
      </w:pPr>
      <w:r>
        <w:rPr>
          <w:rFonts w:ascii="Times New Roman" w:hAnsi="Times New Roman"/>
          <w:b/>
          <w:i/>
          <w:sz w:val="20"/>
        </w:rPr>
        <w:t xml:space="preserve">Third parties may assert that we are employing their intellectual property and other proprietary technology without authorization, and we may become a party to litigation or administrative proceedings related to intellectual property that could be costly, time-consuming, or unsuccessful and could hinder our ability to commercialize our existing or future products. </w:t>
      </w:r>
    </w:p>
    <w:p>
      <w:pPr>
        <w:pStyle w:val="TextBody"/>
        <w:bidi w:val="0"/>
        <w:spacing w:before="240" w:after="0"/>
        <w:jc w:val="left"/>
        <w:rPr>
          <w:rFonts w:ascii="Times New Roman" w:hAnsi="Times New Roman"/>
          <w:sz w:val="20"/>
        </w:rPr>
      </w:pPr>
      <w:r>
        <w:rPr>
          <w:rFonts w:ascii="Times New Roman" w:hAnsi="Times New Roman"/>
          <w:sz w:val="20"/>
        </w:rPr>
        <w:t xml:space="preserve">The medical device industry has been characterized by extensive litigation regarding patents, trademarks, trade secrets, copyrights and other intellectual property rights, and companies in the industry have used intellectual property litigation to gain a competitive advantage. It is possible that U.S. and foreign patents and pending patent applications, trademarks, copyright registrations or other intellectual property controlled by third parties may be alleged to cover our products or services, or components of our products or services, or that we may be accused of misappropriating third parties trade secrets. Additionally, our products include hardware and software components and other elements that we purchase or license from vendors and other third parties, and may include design components (including open-source components) or other elements that are outside of our direct control and could become unavailable on terms acceptable to us or be found or alleged to infringe, misappropriate or otherwise violate the intellectual property rights of third parties. Our direct or indirect competitors, many of which have substantially greater resources and have made substantial investments in patent portfolios, trade secrets, trademarks, copyright registrations, and other intellectual property rights and competing technologies, may have applied for or obtained, or may in the future apply for or obtain, patents or trademarks that will prevent, limit or otherwise interfere with our ability to make, have made, use, sell, offer to sell, and/or import our products and services (or components thereof) or to use product names. Moreover,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directed to our products or technology similar to ours. Any such patent application may have priority over our patent applications or patents, which could further require us to obtain rights, if available, to any resulting third-party patents directed to such technologies. Given the number of patents directed toward the medical device industry or otherwise applicable to technologies utilized in the medical device industry, we cannot be certain that we do not infringe existing patents or that we will not infringe patents that may be granted in the future. If a patent holder believes our Cardiac Recovery System platform, any components thereof including the ASSURE WCD, any other products or any future product candidates infringe its patent, the patent holder may sue us even if we have received patent protection. Our Cardiac Recovery System platform, including existing products and any future products that we commercialize, could be alleged to infringe patent rights and other proprietary rights of third parties. Any lawsuits resulting from such allegations, if we are not successful, could subject us to significant liability for damages. Any potential intellectual property litigation also could force us to do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stop making, having made, selling, offering to sell, importing or using products or technologies that allegedly infringe or violate the asserted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significant legal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substantial damages or royalties to the party whose intellectual property rights we may be found to be infringing or violating, including enhanced damages if we are found to be willfully infringing or violating such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the attorneys fees and costs of litigation to the party whose intellectual property rights we may be found to be infringing or violating;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redesign those products that contain the allegedly infringing or violating intellectual property or replace components thereof that contain the allegedly infringing or violating intellectual property, which could be costly, disruptive, infeasible, or require further FDA approval;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attempt to obtain a license to the relevant intellectual property from third parties, which may not be available on reasonable terms or at all, or from third parties who may attempt to license rights that they do not have.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litigation or claim against us, even those without merit or that we are able to successfully defend, may cause us to incur substantial costs, and could place a significant strain on our financial resources, divert the attention of management from our core business and harm our reputation. The defense and prosecution of these matters are both costly and time-consuming. Vendors and other parties from which we purchase or license hardware, software or other intellectual property may not indemnify us in the event that such hardware or software is accused of infringing a third partys patent or trademark or of misappropriating a third partys trade secret or otherwise violating a third partys intellectual property rights. There can be no assurance with respect to the outcome of any litigation brought against us, and even if any litigation is resolved in our favor, the outcome of any such litigation could have a material adverse impact on our business, operating results and financial condition. Litigation is inherently unpredictable and outcomes are uncertain. Further, as the costs and outcome of these types of claims and proceedings can vary significantly, it is difficult to estimate potential losses that may occur. Accordingly, we are unable at this time to estimate the effects of these potential future lawsuits on our financial condition, operations or cash flows.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 the event of a successful claim against us for infringement, misappropriation or other violation of third-party intellectual property rights, we may have to pay substantial damages. </w:t>
      </w:r>
    </w:p>
    <w:p>
      <w:pPr>
        <w:pStyle w:val="TextBody"/>
        <w:bidi w:val="0"/>
        <w:spacing w:before="240" w:after="0"/>
        <w:jc w:val="left"/>
        <w:rPr>
          <w:rFonts w:ascii="Times New Roman" w:hAnsi="Times New Roman"/>
          <w:sz w:val="20"/>
        </w:rPr>
      </w:pPr>
      <w:r>
        <w:rPr>
          <w:rFonts w:ascii="Times New Roman" w:hAnsi="Times New Roman"/>
          <w:sz w:val="20"/>
        </w:rPr>
        <w:t xml:space="preserve">If patents, trademarks, trade secrets, or other intellectual property rights are successfully asserted against us, this may harm our business and result in injunctions preventing us from selling our products, license fees, damages and the payment of attorney fees and court costs. A finding of infringement could prevent us from continuing to sell our Cardiac Recovery System platform or any components thereof including the ASSURE WCD, or prevent us from commercializing any future product candidates or force us to cease some or all of our business operations, which could materially harm our business. In addition, if we are found to have willfully infringed third party patents or trademarks, or to have willfully misappropriated trade secrets or otherwise violated other intellectual property rights of others, we could be required to pay enhanced damages in addition to other penalties, including attorneys fees.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have to obtain one or more licenses from third parties to continue developing and marketing our products and technology, pay royalties and/or redesign our products or technologies, which may be impossible or require substantial time and monetary expenditure. Although patent, trademark, trade secret and other intellectual property disputes in the medical device area sometimes may be settled through licensing or similar arrangements, we may not be able to obtain such arrangements at all and if we do, costs associated with such arrangements may be substantial and could include ongoing royalties that materially adversely impact our revenue. We may be unable to obtain necessary licenses on satisfactory terms and one or more third parties may refuse to grant necessary licenses. Some licenses from third parties may include access to technologies for use by us on defined terms. Other licenses from third parties may not provide access to any additional technologies and may be limited to granting permission for us to utilize existing or future technology in exchange for additional fees. If we do not obtain necessary licenses, we may not be able to redesign our products to avoid infringement, which could result in a material adverse effect on our business. Even if we were able to obtain such licenses, then it could be granted on non-exclusive terms, thereby providing our competitors and other third parties access to any technologies licensed to us.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subject to claims challenging the inventorship of our patents and other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claims that current or former employees, partners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inventors, the effects of foreign laws where foreign nationals are involved in the development of the subject matter of the patent, conflicting obligations of third parties involved in developing our pipeline assets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Similarly, interference or derivation proceedings provoked by third parties or brought by the U.S. Patent and Trademark Office (USPTO) or other jurisdictional bodies may be necessary to determine priority or originality with respect to our patents or patent applications. We may also become involved in other proceedings, such as reexamination, </w:t>
      </w:r>
      <w:r>
        <w:rPr>
          <w:rFonts w:ascii="Times New Roman" w:hAnsi="Times New Roman"/>
          <w:i/>
          <w:sz w:val="20"/>
        </w:rPr>
        <w:t>inter partes</w:t>
      </w:r>
      <w:r>
        <w:rPr>
          <w:rFonts w:ascii="Times New Roman" w:hAnsi="Times New Roman"/>
          <w:sz w:val="20"/>
        </w:rPr>
        <w:t xml:space="preserve"> review, post-grant reviews, cancellations, derivation or opposition proceedings before the USPTO or other jurisdictional bodies relating to our intellectual property rights or the intellectual property rights of others. Adverse determinations in a judicial or administrative proceeding or failure to obtain necessary licenses could prevent us from manufacturing and selling our products or using product names, which would have a significant adverse impact on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become involved in litigation or administrative proceedings related to intellectual property, including litigation to protect, enforce or defend the validity of our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We may need to commence proceedings or assert counterclaims against others to enforce our patents, trademarks or other intellectual property, to protect our trade secrets or know-how or to determine the enforceability, scope and validity of the proprietary rights of others when we determine that a successful outcome may lead to an increase in the value of the intellectual property. If we choose to enforce our patent rights against a party, then that individual or company has the right to ask the court to rule that such patents are invalid or should not be enforced. Additionally, the validity of our patents and the patents we have licensed may be challenged if a petition for post-grant proceedings, such as </w:t>
      </w:r>
      <w:r>
        <w:rPr>
          <w:rFonts w:ascii="Times New Roman" w:hAnsi="Times New Roman"/>
          <w:i/>
          <w:sz w:val="20"/>
        </w:rPr>
        <w:t>inter partes</w:t>
      </w:r>
      <w:r>
        <w:rPr>
          <w:rFonts w:ascii="Times New Roman" w:hAnsi="Times New Roman"/>
          <w:sz w:val="20"/>
        </w:rPr>
        <w:t xml:space="preserve"> review and post-grant review, is filed within the statutorily applicable time with the USPTO. Proceedings to challenge patents are also available internationally, including for example, opposition proceedings and nullity actions. In patent litigation in the United States, counterclaims alleging invalidity and/or unenforceability and U.S. Patent Trial and Appeal Board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intentionally withheld material information from the USPTO, or made a misleading statement, during prosecution. Third parties also may raise similar claims before the PTAB, even outside the context of litigation. These proceedings would result in substantial expense to us and significant diversion of effort by our technical and management personnel. There is also the risk that, even if the validity or enforceability of such patents is upheld, a court or jury may find that the other partys products or services do not infringe our patents. We may not prevail in any lawsuits that we initiate and the damages or other remedies awarded, if any, may not be commercially meaningful. We may not be able to stop a competitor from marketing and selling products that are the same or similar to our products and services or from using product or service names that are the same or similar to ours, and our business may be materially harmed as a result.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enforce our patent rights depends on our ability to detect infringement by third parties. It may be difficult to detect infringers that do not advertise the components or methodologies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 Adverse proceedings can be expensive, time-consuming and may divert the efforts of our technical and managerial personnel, which could in turn harm our business, whether or not we receive a determination favorable to us. In addition, a court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judicial body may decide that the patent we seek to enforce is not patentable, invalid or unenforceable. Additionally, a court or other judicial body may refuse to stop the other party from using the technology at issue on the grounds that the patent in question does not cover the allegedly infringing technology in question or otherwise refuse to enjoin a party found to have infringed a patent. An adverse result in any proceeding could put one or more of our patents at risk of being found not patentable, invalidated or interpreted narrowly. Some of our competitors may be able to devote significantly more resources to intellectual property proceedings, and may have significantly larger intellectual property portfolios to assert against us if we assert our rights against them. Further, because of the substantial discovery required in connection with intellectual property litigation, there is a risk that some of our confidential information could be disclosed or otherwise compromised.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be subject to legal proceedings and claims in the ordinary course of business with respect to intellectual property or issues, which proceedings and claims may also include claims related indirectly to our intellectual property such as breach of contract, antitrust, or unfair competition. In addition, we generally indemnify our customers and distributors with respect to infringement by our products of the proprietary rights of third parties. Third parties may assert infringement claims against our customers, distributors or suppliers. These claims may require us to initiate or defend protracted and costly litigation on behalf of our customers, distributors or suppliers, regardless of the merits of these claims. If any of these claims succeeds or settles, we may be forced to pay damages or settlement payments on behalf of our customers, distributors or suppliers or may be required to obtain licenses for the products they use or produce for us. If we cannot obtain all necessary licenses on commercially reasonable terms, our customers may be forced to stop purchasing and using our products, which could expose us to substantial losses or liability and otherwise have an adverse effect on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efforts to obtain intellectual property protection and the intellectual property rights we obtain may be inadequate, and our business may be adversely affected as a result.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competitive strategy, we have and will continue to develop, maintain, enforce and protect the proprietary aspects of our technologies. We rely on a combination of patents, copyrights, trademarks, trade secret laws and confidentiality and invention assignment agreements with employees and third parties to protect our intellectual property rights. These legal measures afford only limited protection. As of the date of this prospectus, we have rights to 225 issued U.S. and foreign patents, consisting of 193 issued patents in the U.S., 16 issued patents in the European Union, 7 issued patents in Japan, 4 issued patents in Australia and 5 issued patents in China. Additionally, as of the date of this prospectus, we had 141 pending published and unpublished U.S. and foreign patent applications, consisting of 128 pending published and unpublished patent applications in the U.S., 5 pending published patent applications in the European Union, 3 pending published patent applications in Japan, 2 pending published patent applications in Australia and 3 pending published patent applications in China. Assuming all required fees and other charges are paid, the earliest expiry date for issued patents owned or used and maintained by us is in July 2025. We rely, in part, on our ability to obtain and maintain patent protection for our proprietary products and processes.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Despite our efforts to protect our proprietary rights, unauthorized parties may be able to obtain and use information that we regard as proprietary. We cannot be certain that our or our licensors claims in U.S. pending and corresponding international or foreign patent applications will be considered patentable. In addition, the issuance of a patent does not ensure that it is valid or enforceable, so even if we obtain patents, they may not be valid or enforceable against third parties. </w:t>
      </w:r>
    </w:p>
    <w:p>
      <w:pPr>
        <w:pStyle w:val="TextBody"/>
        <w:bidi w:val="0"/>
        <w:spacing w:before="240" w:after="0"/>
        <w:jc w:val="left"/>
        <w:rPr>
          <w:rFonts w:ascii="Times New Roman" w:hAnsi="Times New Roman"/>
          <w:sz w:val="20"/>
        </w:rPr>
      </w:pPr>
      <w:r>
        <w:rPr>
          <w:rFonts w:ascii="Times New Roman" w:hAnsi="Times New Roman"/>
          <w:sz w:val="20"/>
        </w:rPr>
        <w:t xml:space="preserve">Our patent applications may not result in issued patents and our patents may not be sufficiently broad to protect our products or technology. Furthermore, the issuance of a patent does not give us the right to make, have made, use, offer to sell, sell or import the patented invention. Other parties may have developed technologies that may be related or competitive to our products, may have filed or may file patent applications and may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or may receive patents that overlap or conflict with our patents or patent applications, either by claiming the same methods or devices or by claiming subject matter that could dominate our patent position. The patent positions of medical device companies, including our patent position, may involve complex legal and factual questions, and, therefore, the scope, validity and enforceability of any patent claims that we or others have or may obtain cannot be predicted with certainty. Third parties may have blocking patents that could prevent us from manufacturing, marketing or distributing our own products and making, using, offering to sell, selling, or importing the Cardiac Recovery System platform, one or more products or components thereof, or existing or future products or components. Alternatively, third parties may seek approval to market their own products similar to or otherwise competitive with our products. In these circumstances, we may need to defend and/or assert our patents and other intellectual property rights, including by filing lawsuits or asserting counterclaims alleging patent infringement, misappropriation and other violations of intellectual property. In any of these types of proceedings, a court or agency with jurisdiction may find our patents invalid or unenforceable; competitors may then be able to market and sell products and use manufacturing and analytical processes that are substantially similar to ours. In addition, such proceedings may be costly. Even if we have valid and enforceable patents, these patents still may not provide protection against competing products or processes sufficient to achieve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protect our intellectual property rights throughout the world.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The legal systems of certain countries may not favor the enforcement of patents and other intellectual property protection, particularly those relating to medical devices, and some jurisdictions, such as Europe, Japan, and China, may have a higher standard for patentability than in the United States. Consequently, we may not be able to prevent third parties from making, having made, using, selling, offering to sell, or importing in all countries outside of the United States, or from making, having made, using, selling offering to sell, or importing products incorporating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correctly estimate or control our future operating expenses in relation to obtaining intellectual property, enforcing intellectual property and/or defending intellectual property, which could affect operating expenses. Our operating expenses may fluctuate significantly in the future as a result of a variety of factors, including the costs of preparing, filing, prosecuting, defending, and enforcing patent and trademark claims and other intellectual property-related costs, including adverse proceedings (such as litigation) costs.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our intellectual property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maintain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protect the confidentiality of our trade secrets and other proprietary information, our business and competitive position may be harmed. </w:t>
      </w:r>
    </w:p>
    <w:p>
      <w:pPr>
        <w:pStyle w:val="TextBody"/>
        <w:bidi w:val="0"/>
        <w:spacing w:before="240" w:after="0"/>
        <w:jc w:val="left"/>
        <w:rPr>
          <w:rFonts w:ascii="Times New Roman" w:hAnsi="Times New Roman"/>
          <w:sz w:val="20"/>
        </w:rPr>
      </w:pPr>
      <w:r>
        <w:rPr>
          <w:rFonts w:ascii="Times New Roman" w:hAnsi="Times New Roman"/>
          <w:sz w:val="20"/>
        </w:rPr>
        <w:t xml:space="preserve">We rely heavily on trade secrets and confidentiality agreements to protect our unpatented know-how, technology, proprietary information, including parts of our Cardiac Recovery System platform, including the ASSURE WCD, and to maintain our competitive position. However, trade secrets and know-how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movement of personnel, including from academic to industry scientific positions. In addition to pursuing patents on our products and technology, we take steps to protect our intellectual property and proprietary technology by entering into agreements, including confidentiality agreements, non-disclosure agreements and intellectual property assignment agreements, with parties who have access to them, such as our employees, consultants and other third parties. We may not be able to prevent the unauthorized disclosure or use of our technical knowledge or other trade secrets by consultants, vendors or former or current employees, despite the existence generally of these confidentiality agreements and other restrictions. These agreements may not provide meaningful protection for our trade secrets, know-how or other proprietary information in the event of any unauthorized use, misappropriation or disclosure of such trade secrets, know-how or other proprietary information. We may not be able to execute assignment agreements with each relevant party and such agreements may be unenforceable or not self-executing. There can be no assurance that employees, consultants, vendors, clients and others with access to the confidential and proprietary information have executed such agreements or have not breached or will not breach their agreements with us, that we will have adequate remedies for any breach, or that our trade secrets will not otherwise become known or independently developed by competitors. Despite the protections we do place on our intellectual property, monitoring unauthorized use and disclosure of our intellectual property is difficult, and we do not know whether the steps we have taken to protect our intellectual property will be adequate. </w:t>
      </w:r>
    </w:p>
    <w:p>
      <w:pPr>
        <w:pStyle w:val="TextBody"/>
        <w:bidi w:val="0"/>
        <w:spacing w:before="240" w:after="0"/>
        <w:jc w:val="left"/>
        <w:rPr>
          <w:rFonts w:ascii="Times New Roman" w:hAnsi="Times New Roman"/>
          <w:sz w:val="20"/>
        </w:rPr>
      </w:pPr>
      <w:r>
        <w:rPr>
          <w:rFonts w:ascii="Times New Roman" w:hAnsi="Times New Roman"/>
          <w:sz w:val="20"/>
        </w:rPr>
        <w:t xml:space="preserve">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the laws of many foreign countries will not protect our intellectual property rights to the same extent as the laws of the United States and there can be no assurance that we have sufficiently protected our intellectual property in every foreign country in which our products may be sold. Consequently, we may be unable to prevent our proprietary technology from being exploited abroad, which could affect our ability to expand to international markets or require costly efforts to protect our technology.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 We may be subject to claims challenging the inventorship or ownership of our intellectual property. We also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Further, it is possible that others independently will develop the same or similar technology or otherwise obtain access to our unpatented technology, and in such cases we could not assert any trade secret rights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adversely affected. In addition, some courts inside and outside the United States are less willing or unwilling to protect trade secrets and agreement terms that address non-competition are difficult to enforce in many jurisdictions and might not be enforceable in certain cases.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 </w:t>
      </w:r>
    </w:p>
    <w:p>
      <w:pPr>
        <w:pStyle w:val="TextBody"/>
        <w:bidi w:val="0"/>
        <w:spacing w:before="240" w:after="0"/>
        <w:jc w:val="left"/>
        <w:rPr>
          <w:rFonts w:ascii="Times New Roman" w:hAnsi="Times New Roman"/>
          <w:sz w:val="20"/>
        </w:rPr>
      </w:pPr>
      <w:r>
        <w:rPr>
          <w:rFonts w:ascii="Times New Roman" w:hAnsi="Times New Roman"/>
          <w:sz w:val="20"/>
        </w:rPr>
        <w:t xml:space="preserve">We also may employ or otherwise engage personnel who were previously or are concurrently employed or engaged at research institutions or other medical device companies, including our competitors or potential competitors. We may be subject to claims that these personnel, or we, have inadvertently or otherwise used or disclosed trade secrets or other proprietary information of their former or concurrent employers, or that patents and applications we have filed to protect inventions of these personnel, even those related to one or more of our products, are rightfully owned by their former or concurrent employer. Litigation may be necessary to defend against these claims. Even if we are successful in defending against these claims, litigation could result in substantial costs and be a distraction to management.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our trademarks and trade names are not adequately protected, we may not be able to build name recognition in our markets and our business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rely on trademarks, service marks, trade names and brand names, such as our registered trademarks ASSURE, ASSURE ASSIST, KESTRA and KESTRA CARESTATION, to distinguish our products from the products of our competitors, and have registered or applied to register these trademarks. We cannot assure you that we have applied for all the marks in the jurisdictions and classes of goods and services that are or will be material to our business or, where we have applied, that our trademark applications will be approved. During trademark registration proceedings, we may receive rejections. Although we are given an opportunity to respond to those rejections, we may be unable to overcome such rejections. In addition, in proceedings before the USPTO or equivalent institutions in other jurisdictions, third parties are given an opportunity to oppose pending trademark applications and to seek to cancel registered trademarks. Opposition or cancellation proceedings have and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Moreover, any name we propose to use with our ASSURE WCD or any future medical device product candidates in the United States must be approved by the FDA, regardless of whether we have registered it, or applied to register it, as a trademark. The FDA typically conducts a review of proposed medical device names, including an evaluation of potential for confusion with other medical device names. If the FDA objects to any of our proposed proprietary medical device names, we may be required to expend significant additional resources in an effort to identify a suitable substitute name that would qualify under applicable trademark laws, not infringe the existing rights of third parties and be acceptable to the FDA. </w:t>
      </w:r>
    </w:p>
    <w:p>
      <w:pPr>
        <w:pStyle w:val="TextBody"/>
        <w:bidi w:val="0"/>
        <w:spacing w:before="240" w:after="0"/>
        <w:jc w:val="left"/>
        <w:rPr>
          <w:rFonts w:ascii="Times New Roman" w:hAnsi="Times New Roman"/>
          <w:sz w:val="20"/>
        </w:rPr>
      </w:pPr>
      <w:r>
        <w:rPr>
          <w:rFonts w:ascii="Times New Roman" w:hAnsi="Times New Roman"/>
          <w:sz w:val="20"/>
        </w:rPr>
        <w:t xml:space="preserve">Further, we cannot assure you that competitors will not infringe our trademarks or that we will have adequate resources to enforce our trademarks. We also face risks in connection with our international expansion, including in countries that may have less protection for our trademarks than the United States. There is a risk that our trademarks may not be adequate to protect our brand or may conflict with the trademarks of other companies, both domestically and abroad, which may require us to rebrand our products, obtain costly licenses, defend against third-party claims, or substantially change our product or service offerings. Should such risks manifest, we may be required to expend considerable resources and divert the attention of our management, which could have an adverse effect on our business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do not adequately protect our trademarks and trade names, then we may not be able to build name recognition in our markets of interest and our business may be adversely affected. Our registered or unregistered trademarks may be challenged, infringed, circumvented, declared to be descriptive, declared generic or conflict with third-party rights. We may not be able to protect our rights to these trademarks, which we need to build name recognition by potential partners or customers in our markets of interest. In addition, third parties may file first for our trademarks in certain countries. If they succeed in registering such trademarks, and if we are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Changes in U.S. or foreign patent law or their interpretations could diminish the value of patents in general, thereby impairing our ability to protect our existing and future products. </w:t>
      </w:r>
    </w:p>
    <w:p>
      <w:pPr>
        <w:pStyle w:val="TextBody"/>
        <w:bidi w:val="0"/>
        <w:spacing w:before="240" w:after="0"/>
        <w:jc w:val="left"/>
        <w:rPr>
          <w:rFonts w:ascii="Times New Roman" w:hAnsi="Times New Roman"/>
          <w:sz w:val="20"/>
        </w:rPr>
      </w:pPr>
      <w:r>
        <w:rPr>
          <w:rFonts w:ascii="Times New Roman" w:hAnsi="Times New Roman"/>
          <w:sz w:val="20"/>
        </w:rPr>
        <w:t xml:space="preserve">As is the case with other medical device and medical technology companies, our success is heavily dependent on intellectual property, particularly patents. Obtaining and enforcing patents in the medical device and medical technology industries involve both technological and legal complexity and is therefore costly, time-consuming and inherently uncertain, due in part to ongoing changes in patent laws. Depending on decisions by Congress, the federal courts and the USPTO and equivalent institutions in other jurisdictions, the laws and regulations governing patents, and interpretation thereof, could change in unpredictable ways that could weaken our ability to obtain new patents or to enforce existing or future patents. For example, in recent years the U.S. Supreme Court has ruled on several patent cases that have been interpreted to have either narrowed the scope of patent protection or weakened the rights of patent owners in certain situations. In addition, patent reform legislation or regulation, such as the Patent Eligibility Restoration Act of 2023 which was introduced to the U.S. Senate on June 22, 2023, may be proposed or enacted in the future that may impact our ability to obtain patents in the future. Therefore, there is increased uncertainty with regard to our ability to obtain patents in the future, as well as uncertainty with respect to the value of patents once obtained. </w:t>
      </w:r>
    </w:p>
    <w:p>
      <w:pPr>
        <w:pStyle w:val="TextBody"/>
        <w:bidi w:val="0"/>
        <w:spacing w:before="240" w:after="0"/>
        <w:jc w:val="left"/>
        <w:rPr>
          <w:rFonts w:ascii="Times New Roman" w:hAnsi="Times New Roman"/>
          <w:sz w:val="20"/>
        </w:rPr>
      </w:pPr>
      <w:r>
        <w:rPr>
          <w:rFonts w:ascii="Times New Roman" w:hAnsi="Times New Roman"/>
          <w:sz w:val="20"/>
        </w:rPr>
        <w:t xml:space="preserve">Patent reform legislation or changes to USPTO regulations or fees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enacted in September 2011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 party submission of prior art to the USPTO during patent prosecution and additional procedures to attack the validity of a patent by USPTO-administered post-grant proceedings, including post-grant review, </w:t>
      </w:r>
      <w:r>
        <w:rPr>
          <w:rFonts w:ascii="Times New Roman" w:hAnsi="Times New Roman"/>
          <w:i/>
          <w:sz w:val="20"/>
        </w:rPr>
        <w:t>inter partes</w:t>
      </w:r>
      <w:r>
        <w:rPr>
          <w:rFonts w:ascii="Times New Roman" w:hAnsi="Times New Roman"/>
          <w:sz w:val="20"/>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harm our business, financial condition, results of operations and prospects. We cannot predict future changes in the interpretation of patent laws or changes to patent laws that might be enacted into law. Those changes may materially affect our patents or patent applications and our ability to obtain additional patent protection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Additionally, as of June 2023, the Companys EPO-registered patents are subject to the jurisdiction of the European Unitary Patent system and the European Unified Patent Court (UPC). It will be several years before we will understand the scope of patent rights that will be recognized and the strength of patent remedies that will be provided by the UPC.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our patents are determined by a court to be valid and enforceable, courts may not interpret them sufficiently broadly to prevent others from marketing products similar to ours or designing around our patents. For example, third parties may be able to make product that are similar to ours but that are not covered by the claims of our patents. Third parties may assert that were not the first to make the inventions covered by our issued patents. The claims of our issued patents or patent applications when issued may not cover our proposed commercial technologies or the future products that we develop. We may not have freedom to commercialize our products unimpeded by the patent rights of others. Third parties may have dominating, blocking, or other patents relevant to our technology of which we are not aware. There may be prior public disclosures or art that could be deemed to invalidate one or more of our patent claims. Further, we may not develop additional proprietary technologies in the future, and, if we do, they may not be patentable. </w:t>
      </w:r>
    </w:p>
    <w:p>
      <w:pPr>
        <w:pStyle w:val="TextBody"/>
        <w:bidi w:val="0"/>
        <w:spacing w:before="240" w:after="0"/>
        <w:jc w:val="left"/>
        <w:rPr>
          <w:rFonts w:ascii="Times New Roman" w:hAnsi="Times New Roman"/>
          <w:sz w:val="20"/>
        </w:rPr>
      </w:pPr>
      <w:r>
        <w:rPr>
          <w:rFonts w:ascii="Times New Roman" w:hAnsi="Times New Roman"/>
          <w:sz w:val="20"/>
        </w:rPr>
        <w:t xml:space="preserve">Patent law can be highly uncertain and involve complex legal and factual questions for which important principles remain unresolved. In the United States and in many international jurisdictions, policy regarding the breadth of claims allowed in patents can be inconsistent. The U.S. Supreme Court and the Court of Appeals for the Federal Circuit have made, and will likely continue to make, changes in how they interpret the patent laws of the United States. Similarly, international courts have made, and will likely continue to make, changes in how they interpret the patent laws in their respective jurisdictions. We cannot predict future changes in the interpretation of patent laws or changes to patent laws that might be enacted into law by U.S. and international legislative bodies. Those changes may materially affect our patent rights and our ability to obtain issued patents.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 fee payment and other requirements imposed by governmental patent agencies, and our patent protection could be reduced or eliminated if we fail to comply with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also expensive and time-consuming, and we may not be able to file, prosecute, maintain, protect, defend, enforce or license all necessary or desirable patents or patent applications, as applicable, at a reasonable cost, in a timely manner, in all potentially relevant jurisdictions, or at all. It is possible that defects as to form in the preparation or filing of our patents or patent applications may exist, or may arise in the future, for example with respect to proper priority claims, inventorship, claim scope, or requests for patent term adjustments. It is also possible that we will fail to identify patentable aspects of our research and development output in time to obtain patent protection. If we delay filing a patent application, and a competitor files a patent application on the same or similar invention before we do, our ability to secure patent rights may be limited and we may not be able to patent the invention at all. Even if we can patent the invention, we may be able to patent only a limited scope of the invention, and the limited scope may be inadequate to protect our assets and technologies, or to block competitors products and technologies that are similar or adjacent to ours. There are also uncertainties or limitations in our ability to properly protect and defend patents covering our products, which could have a material adverse effect on our business, financial condition, results of operations and prospects. Our earliest patents and patent filings are public. A competitor may review our published patent filings and arrive at the same or similar technology advances for our assets as we developed. If the competitor files a patent application on such an advance before we do, then we may no longer be able to protect that aspect of our assets and technologies and we may require a license from the competitor, which may not be available on commercially viable terms or at all. Moreover, we may not develop additional proprietary products, methods and technologies that are patentable. We also rely to a certain extent on trade secrets, know-how, and technology, that are not protected by patents, to maintain our competitive position. If any trade secret, know-how or other technology not protected by a patent were to be disclosed to or independently developed by a competitor, our business and financial condition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Periodic maintenance fees, renewal fees, annuity fees and various other government fees on any issued patents and certain pending patent applications are required to be paid to the USPTO or foreign patent agencies in several stages over the lifetime of a patent. The USPTO and various foreign patent agencies also require compliance with a number of procedural, documentary, fee payment and other similar requirements during the patent application and prosecution process. Noncompliance events that could result in abandonment or lapse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 or patent application include failure to respond to official communications within prescribed time limits, non-payment of fees and failure to properly legalize and submit formal documents. While an inadvertent lapse in many cases can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fail to maintain the patents and patent applications directed to our Cardiac Recovery System platform, any components thereof including the ASSURE WCD, other products or any future product candidates, our competitors might be able to enter the market with similar or identical products or technology, which would harm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patent expiration dates may be affected by a number of factors. For example, patent terms may be shortened or lengthened by terminal disclaimers, patent term adjustments, supplemental protection certificates, and patent term extensions. Patent term extensions and supplemental protection certificates, and the like, may be impacted by the regulatory process and may not significantly lengthen patent term. Non-payment or delay in payment of patent fees or annuities, delay in patent filings or delay in extension filing (including any patent term extension or adjustment filing), whether intentional or unintentional, may also result in the loss of patent rights important to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240" w:after="0"/>
        <w:jc w:val="left"/>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any existing products or product candidates we may develop or utilize similar technology but that are not covered by the claims of the patents that we own or license now or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might not have been the first to make the inventions covered by the issued patent or pending patent application that we own now or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might not have been the first to file patent applications directed to certain of our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owned or licensed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pending held or licensed patent applications or those that we may file or license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to which we hold rights may be held invalid or unenforceable, including as a result of legal challenges by other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might conduct research and development activities in the United States under FDA-related safe harbor patent infringement exemptions and/or in countries where we do not have patent rights and then use the information learned from such activities to develop competitive products for distribution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or products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or pending patent applications of others may harm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choose not to file a patent in order to maintain certain trade secrets or know-how, and a third party may subsequently file a patent covering such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assure that any of our patents, or any of our pending patent applications, if issued, will include claims having a scope sufficient to protect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commercialize our products on a substantial scale, if approved, before our relevant patents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assure that our commercial activities or products will not infringe the intellectual property rights of others;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assure any patents issued to us will provide a basis for an exclusive market for our commercially viable products, will provide us with any competitive advantages or will not be challenged by third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harm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include technology in our products that is licensed to us by third parties. Any loss of our rights to this technology could prevent us from selling our products. </w:t>
      </w:r>
    </w:p>
    <w:p>
      <w:pPr>
        <w:pStyle w:val="TextBody"/>
        <w:bidi w:val="0"/>
        <w:spacing w:before="240" w:after="0"/>
        <w:jc w:val="left"/>
        <w:rPr>
          <w:rFonts w:ascii="Times New Roman" w:hAnsi="Times New Roman"/>
          <w:sz w:val="20"/>
        </w:rPr>
      </w:pPr>
      <w:r>
        <w:rPr>
          <w:rFonts w:ascii="Times New Roman" w:hAnsi="Times New Roman"/>
          <w:sz w:val="20"/>
        </w:rPr>
        <w:t xml:space="preserve">We hold certain intellectual property and technology licenses under which we license intellectual property and technology from third parties that we use in our products or other parts of our business. We do not own the intellectual property that underlies these licenses. Our rights to use the licensed intellectual property is subject to the continuation of and compliance with the terms of the licenses, including terms that may restrict our ability to expand our use of such intellectual property into other fields. We expect that we may need to enter into additional license agreements in the future. Our business could suffer, for example, if any current or future licenses terminates, if the licensors fail to abide by the terms of the license, if the licensed patents or other rights are found to be invalid or unenforceable, or if we are unable to enter into necessary licenses on acceptable terms. </w:t>
      </w:r>
    </w:p>
    <w:p>
      <w:pPr>
        <w:pStyle w:val="TextBody"/>
        <w:bidi w:val="0"/>
        <w:spacing w:before="240" w:after="0"/>
        <w:jc w:val="left"/>
        <w:rPr>
          <w:rFonts w:ascii="Times New Roman" w:hAnsi="Times New Roman"/>
          <w:sz w:val="20"/>
        </w:rPr>
      </w:pPr>
      <w:r>
        <w:rPr>
          <w:rFonts w:ascii="Times New Roman" w:hAnsi="Times New Roman"/>
          <w:sz w:val="20"/>
        </w:rPr>
        <w:t xml:space="preserve">As we have done previously, we may need or may choose to obtain patent or other licenses from third parties to advance our research or allow commercialization of our current or future products.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not be exclusive.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the commercialization of our products or an obligation on our part to pay royalties and/or other forms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in the future between us and our licensors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our technology and processes infringe or violate intellectual property rights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enlist third party vendors or contractors to manufacture or assemble components under the scope of the license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royalty calculations, including our obligation to disclose proprietary manufacturing information, determining products included or excluded from royalty obligations, and compliance with audit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disclosure of terms of existing license agreements to third parties based on confidentiality obligations included in the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mergers, acquisition, dissolutions, or other business entity transactions that can affect the ownership of intellectual property rights subject to the license agreement or obligations under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with respect to the use of the licensed technology in relation to our development and commercialization of our products, and what activities satisfy those diligence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ownership of inventions and know-how resulting from the joint creation or use of intellectual property by our licensors and us and our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Disputes regarding our current licensing arrangements may have an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agreements pursuant to which we in-license intellectual property, we have granted in the past, and will continue to grant in the future licenses under our intellectual property. Like our in-bound licenses, our out-bound licenses are complex and disputes may arise between us and our licensees, such as the types of disputes described above. Moreover, our licensees may breach their obligations, or we may be exposed to liability due to our failure or alleged failure to satisfy our obligations. Any such an occurrence could have an adverse effect on our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Changes in the regulatory environment may make it more difficult and costly for us to manufacture, market or distribute our products, or to obtain approval for any future products. </w:t>
      </w:r>
    </w:p>
    <w:p>
      <w:pPr>
        <w:pStyle w:val="TextBody"/>
        <w:bidi w:val="0"/>
        <w:spacing w:before="240" w:after="0"/>
        <w:jc w:val="left"/>
        <w:rPr>
          <w:rFonts w:ascii="Times New Roman" w:hAnsi="Times New Roman"/>
          <w:sz w:val="20"/>
        </w:rPr>
      </w:pPr>
      <w:r>
        <w:rPr>
          <w:rFonts w:ascii="Times New Roman" w:hAnsi="Times New Roman"/>
          <w:sz w:val="20"/>
        </w:rPr>
        <w:t xml:space="preserve">Healthcare laws and regulations change frequently and may change significantly in the future. We may not be able to adapt our operations to address every new regulation, and new regulations may adversely affect our business. We cannot assure you that a review of our business by courts or regulatory authorities would not result in a determination that adversely affects our revenue and operating results, or that the healthcare regulatory environment will not change in a way that restricts our operations. In addition, there is risk that the U.S. Congress may implement changes in laws and regulations governing providers of healthcare services and products, including measures to control costs, or reductions in reimbursement levels, which may adversely affect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Government payors, such as Medicare, as well as private payors, have increased their efforts to control the cost, utilization and delivery of healthcare services and products. From time to time, the U.S. Congress has considered and implemented changes in the Medicare fee schedules in conjunction with budgetary legislation. For example, The Budget Control Act, as amended, resulted in the imposition of 2% reductions in Medicare (but not Medicaid) payments to providers in 2013 and will remain in effect through 2030.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reductions of reimbursement by Medicare for services or changes in policy regarding coverage of tests or other requirements for payment, such as prior authorization or a healthcare provider or qualified practitioners signature on test requisitions, may be implemented from time to time. Reductions in the reimbursement rates and changes in payment policies of other third-party payors may occur as well. Similar changes in the past have resulted in reduced payments as well as added costs and have added more complex regulatory and administrative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FDA and other regulatory agencies that impact our operations may also change their policies or take other actions, including as a result of legal challenges against such agencies, which may increase the cost of compliance and prevent or delay marketing authorization of our future products under development or impact our ability to enhance products for which we have already obtained marketing authorizations on a timely basis or at all. The U.S. Supreme Courts June 2024 decision in </w:t>
      </w:r>
      <w:r>
        <w:rPr>
          <w:rFonts w:ascii="Times New Roman" w:hAnsi="Times New Roman"/>
          <w:i/>
          <w:sz w:val="20"/>
        </w:rPr>
        <w:t>Loper Bright Enterprises v. Raimondo</w:t>
      </w:r>
      <w:r>
        <w:rPr>
          <w:rFonts w:ascii="Times New Roman" w:hAnsi="Times New Roman"/>
          <w:sz w:val="20"/>
        </w:rPr>
        <w:t xml:space="preserve"> (the Loper decision)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applicable to our business, including those of the FDA, the USPTO, the Federal Trade Commission (FTC) and the International Trade Commission.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fail to comply with healthcare and other governmental regulations, we could face substantial penalties and our business, results of operations and financial condition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products and services we offer are highly regulated, and there can be no assurance that the regulatory environment in which we operate will not change significantly and adversely in the future. Our business practices, distribution and billing arrangements with third-party DME providers, and other arrangements with healthcare providers, hospitals, and patients may expose us to scrutiny under broadly applicable fraud and abuse and other laws and regulations that may restrict the financial arrangements and relationships through which we market, sell and distribute our products and services. U.S. federal and state healthcare laws and regulations that may affect our ability to conduct business,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laws and regulations regarding billing and claims payment applicable to our products and regulatory agencies enforcing those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any person from knowingly and willfully offering, soliciting, receiving or providing remuneration, directly or indirectly, in cash or in kind, in exchange for or to induce either the referral of an individual for, or the furnishing, purchase, order or recommendation of, any good or service for which payment may be made under government healthcare programs, such as the Medicare and Medicaid programs. In addition, a person or entity does not need to have actual knowledge of the statute or specific intent to violate it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laws and civil monetary penalties laws, including the federal False Claims Act, which prohibits, among other things, individuals or entities from knowingly presenting, or causing to be presented, false claims, or knowingly using false statements, to obtain payment from the government, healthcare programs. Moreover, the government may assert that a claim including items or services resulting from a violation of the federal Anti-Kickback Statute constitutes a false or fraudulent claim for purposes of the federal civil False Claims Act; 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Sunshine Act (Open Payments), created under the Affordable Care Act (as defined below), and its implementing regulations, which requires manufacturers of drugs, medical devices, biologicals and medical supplies for which payment is available under Medicare, Medicaid or the Childrens Health Insurance Program to report annually to CMS information related to payments or other transfers of value made to licensed physicians and teaching hospitals, as well as ownership and investment interests held by physicians and their immediate family members. Additionally, beginning in 2022, applicable manufacturers are also required to report certain payments and other transfers of value made during the previous year to physician assistants, nurse practitioners, clinical nurse specialists, anesthesiologist assistants, certified registered nurse anesthetists, anesthesiology assistants and certified nurse midwives;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and its implementing regulations, which impose certain requirements relating to the privacy, security and transmission of individually identifiable health information upon covered entities (health plans, healthcare clearinghouses and certain healthcare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HHS Office of Civil Rights, affected individuals, and, if the breach is large enough, the media. Entities that are covered by HIPAA (e.g., covered entities and business associates) found to be in violation of HIPAA as the result of a breach of unsecured protected health information, a complaint about privacy practices or an audit by the HHS, may be subject to significant civil, criminal and administrative fines and penalties and/or additional reporting and oversight obligations if required to enter into a resolution agreement and corrective action plan with the HHS to settle allegations of HIPAA non-compliance. HIPAA also created criminal liability for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Additionally, the FTC also has authority to initiate enforcement actions against entities for, amongst other things, misleading customers about HIPAA compliance, making deceptive statements about privacy and data sharing in privacy policies, failing to limit third-party use of personal health information, failing to implement policies to protect personal health information, or engaging in other unfair practices that harm customers or that may violate Section 5 of the FTC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Food, Drug and Cosmetic Act, which regulates the manufacturing, labeling, marketing and sale of medical devices and prohibits, among other things, the adulteration or misbranding of drugs, biologics and medical devices;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consumer protection and unfair competition laws, which broadly regulate marketplace activities and activities that potentially harm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self-referral prohibition, commonly known as the Stark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law equivalents of each of the above federal laws, such as anti-kickback and false claims laws which may apply to items or services reimbursed by any third party payor, including commercial insurers, state-mandated disclosures of payments or other transfers of value to healthcare providers or marketing expenditures, state laws related to insurance fraud in the case of claims involving private insurers, and state and foreign laws governing the privacy and security of health information in certain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laws and regulations, among other things, constrain our business, marketing, sales, distribution and other promotional and research activities by limiting the kinds of financial arrangements that we may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hospitals, healthcare providers or other potential referral sources for our products, as well as our arrangements with other third parties for the purchase, sale, billing, and distribution of our products. In particular, these laws and regulations may restrict or prohibit a wide range of pricing, discounting, marketing and promotion, sales commission, customer incentive programs, and other business arrangements, as well as interactions with healthcare providers through consultant arrangements, product training, sponsorships, or other activities. Efforts to ensure that our business arrangements with third parties will comply with applicable healthcare and other laws and regulations will involve substantial costs.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available statutory and regulatory exemptions, governmental authorities may possibly conclude that our business practices may not comply with healthcare laws and regulations. 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 Additionally, as a result of these investigations and qui tam actions, we may have to agree to additional compliance and reporting requirements as part of a consent decree, deferred prosecution or corporate integrity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implemented a corporate compliance program designed to actively identify, prevent and mitigate risk through the implementation of compliance policies, training, auditing and monitoring. We expect to devote substantial resources to implement, maintain, administer and expand the compliance program as necessary. Our company is a member of AdvaMed and complies with the AdvaMed Code. We cannot be certain, however, that our compliance program will ensure compliance with the various complex laws and regulations to which we are subject now or in the future.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and state laws described above or any other current or future fraud and abuse or other healthcare laws and regulations that apply to us, we may be subject to penalties, including significant criminal, civil, and administrative penalties, damages, fines, imprisonment, for individuals, exclusion from participation in government healthcare programs, such as Medicare and Medicaid, or oversight if we become subject to a consent decree, deferred prosecution or corporate integrity agreement, and we could be required to curtail or cease our operations. Any of the foregoing consequences could materially adversely affect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Our team members, consultants and commercial partners may engage without our awareness in misconduct or other improper activities, including non-compliance with regulatory standards and requirements despite any policies we may have in place to prevent such misconduct, and we may be found liable for their 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products and operations are subject to extensive government regulation and oversight. If we fail to obtain and maintain necessary regulatory clearances or approvals for our products, or if clearances or approvals for future products and indications are delayed or not issued, or if we fail to comply with post-marketing regulatory requirements, our commercial operations would be harmed. </w:t>
      </w:r>
    </w:p>
    <w:p>
      <w:pPr>
        <w:pStyle w:val="TextBody"/>
        <w:bidi w:val="0"/>
        <w:spacing w:before="240" w:after="0"/>
        <w:jc w:val="left"/>
        <w:rPr>
          <w:rFonts w:ascii="Times New Roman" w:hAnsi="Times New Roman"/>
          <w:sz w:val="20"/>
        </w:rPr>
      </w:pPr>
      <w:r>
        <w:rPr>
          <w:rFonts w:ascii="Times New Roman" w:hAnsi="Times New Roman"/>
          <w:sz w:val="20"/>
        </w:rPr>
        <w:t xml:space="preserve">Our products are subject to extensive regulation by the FDA. Government regulations specific to medical devices are wide ranging and govern,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design, development and manufacture;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laboratory, pre-clinical and clinical testing, labeling, packaging, storage and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premarketing clearance and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keeping;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establishment registration and device listing;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marketing, promotion, advertising, sales and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post-marketing surveillance, including reporting of deaths or serious injuries, recalls, corrections and removals.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a new medical device or service, or a new intended use for an existing product or service, can be marketed in the United States, a company must first submit and receive either 510(k) clearance or premarketing approval from the FDA, unless an exemption applies. Either process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We may not be able to obtain the necessary clearances or approvals or may be unduly delayed in doing so, which could harm our business. Furthermore, even if we are granted regulatory clearances or approvals, they may include significant limitations on the indicated uses for the product, which may limit the market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 can delay, limit or deny clearance or approval of a device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demonstrate to the satisfaction of the FDA or the applicable regulatory entity or notified body that our products are safe or effective for their intended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disagreement of the FDA or the applicable foreign regulatory body with the design or implementation of clinical trials or the interpretation of data from pre-clinical studies or clinical trials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serious and unexpected adverse device effects experienced by participants in clinical trials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from pre-clinical studies and clinical trials of our products may be insufficient to support clearance or approval, where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demonstrate that the clinical and other benefits of the device outweigh the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process or facilities we use may not meet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approval policies or regulations of the FDA or applicable foreign regulatory bodies to change significantly, including as a result of changes in administration, in a manner resulting in delays in the approval process or rendering our performance testing and clinical data or regulatory filings insufficient for clearance 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have obtained FDA approval to market our ASSURE WCD, we are subject to ongoing and pervasive post-marketing regulatory requirements governing, among other things, the manufacture, marketing, advertising, medical device reporting, sale, promotion, registration, and listing of devices. For example, we are required to file various reports with the FDA, including reports required by the medical device reporting regulations (MDRs) that require that we report to the regulatory authorities if our products may have caused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 In addition, our PMA for our ASSURE WCD was subject to several conditions of approval, including labeling, useful life restrictions, the commencement of a post-approval registry and post-market study requirements. Though we believe we have complied with these conditions to date, any failure to comply with the conditions of approval could result in the withdrawal of our PMA and the inability to continue to market our ASSURE WCD. </w:t>
      </w:r>
    </w:p>
    <w:p>
      <w:pPr>
        <w:pStyle w:val="TextBody"/>
        <w:bidi w:val="0"/>
        <w:spacing w:before="240" w:after="0"/>
        <w:jc w:val="left"/>
        <w:rPr>
          <w:rFonts w:ascii="Times New Roman" w:hAnsi="Times New Roman"/>
          <w:sz w:val="20"/>
        </w:rPr>
      </w:pPr>
      <w:r>
        <w:rPr>
          <w:rFonts w:ascii="Times New Roman" w:hAnsi="Times New Roman"/>
          <w:sz w:val="20"/>
        </w:rPr>
        <w:t xml:space="preserve">If we initiate a correction or removal for any of our products to reduce a risk to health posed by any such products, we would be required to submit a publicly available Correction and Removal report to the FDA and, in many cases, similar reports to other regulatory agencies. This report could be classified by the FDA as a device recall which could lead to increased scrutiny by the FDA and our customers regarding the quality and safety of our products. Furthermore, the submission of these reports could be used by competitors against us and cause healthcare providers to delay or cancel prescriptions, which could harm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The FDA and the FTC also regulate the advertising and promotion of our products and services to ensure that the claims we make are consistent with our regulatory approvals and clearances, that there is adequate and reasonable data to substantiate the claims and that our promotional labeling and advertising is neither false nor misleading. If the FDA or FTC determines that any of our advertising or promotional claims are misleading, not substantiated or not permissible, we may be subject to enforcement actions, including warning letters, and we may be required to revise our promotional claims and make other corrections or restitutions. </w:t>
      </w:r>
    </w:p>
    <w:p>
      <w:pPr>
        <w:pStyle w:val="TextBody"/>
        <w:bidi w:val="0"/>
        <w:spacing w:before="240" w:after="0"/>
        <w:jc w:val="left"/>
        <w:rPr>
          <w:rFonts w:ascii="Times New Roman" w:hAnsi="Times New Roman"/>
          <w:sz w:val="20"/>
        </w:rPr>
      </w:pPr>
      <w:r>
        <w:rPr>
          <w:rFonts w:ascii="Times New Roman" w:hAnsi="Times New Roman"/>
          <w:sz w:val="20"/>
        </w:rPr>
        <w:t xml:space="preserve">The FDA and state authorities have broad enforcement powers. Our failure to comply with applicable regulatory requirements could result in enforcement action by the FDA or state agencies, which may include any of the following sanctions: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untitled letters, warning letters, fines, injunctions, consent decrees and civil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2"/>
        <w:gridCol w:w="8981"/>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repair, replacement, refunds, recall or seizure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restrictions, partial suspension or total shutdown of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denial of our requests for 510(k) clearance or premarket approval of new products or services, new intended uses or modifications to existing products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510(k) clearance or premarket approvals that have already been granted;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criminal prosecution.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events were to occur, our business, financial condition, results of operations and prospects could be materially adverse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Material modifications to our ASSURE WCD or any future products may require new PMAs, 510(k) clearances, CE Marks or other premarket approvals or may require us to recall or cease marketing our products and services until clearances are obtained. </w:t>
      </w:r>
    </w:p>
    <w:p>
      <w:pPr>
        <w:pStyle w:val="TextBody"/>
        <w:bidi w:val="0"/>
        <w:spacing w:before="240" w:after="0"/>
        <w:jc w:val="left"/>
        <w:rPr>
          <w:rFonts w:ascii="Times New Roman" w:hAnsi="Times New Roman"/>
          <w:sz w:val="20"/>
        </w:rPr>
      </w:pPr>
      <w:r>
        <w:rPr>
          <w:rFonts w:ascii="Times New Roman" w:hAnsi="Times New Roman"/>
          <w:sz w:val="20"/>
        </w:rPr>
        <w:t xml:space="preserve">Material modifications to the intended use or technological characteristics of our products will require new PMA or 510(k) clearances or CE Mark grants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supplement or clearance; however, the FDA can review a manufacturers decision. Any modification to an FDA cleared device or service that would significantly affect its safety or efficacy or that would constitute a major change in its intended use would require a new PMA or 510(k) clearance. We may not be able to obtain additional PMA or 510(k) clearances for new products or for modifications to, or additional indications for, our products in a timely fashion, or at all. Delays in obtaining future clearances would adversely affect our ability to introduce new or enhanced products in a timely manner, which in turn would have an adverse effect on our business, financial condition, results of operations and prospects. For device modifications that we conclude do not require a new regulatory clearance or approval, we may be required to recall and to stop marketing the modified devices if the government agency disagrees with our conclusion and requires new clearances or approvals for the modifications. This could have an adverse effect on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or our suppliers fail to comply with the federal, state and international regulations, our operations could be delayed or shut down and our revenue could suffer.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processes of our third-party suppliers are required to comply with the FDAs QSR, which covers procedures and documentation of the design, testing, production, control, quality assurance, labeling, packaging, storage and shipping of our products. We are also subject to similar state requirements and licenses, and to ongoing ISO 13485 and ISO 14971 compliance in all operations, including design and service. In addition, we must engage in extensive recordkeeping and reporting and must make available our facilities and records for periodic unannounced inspections by governmental agencies, including the FDA and state authorities. If we or our third-party suppliers fail a regulatory inspection, our operations could be disrupted and manufacturing interrupted. Failure to take adequate corrective action in response to an adverse regulatory inspection could result in, among other things, a shutdown of our third-party suppliers manufacturing operations, our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 </w:t>
      </w:r>
    </w:p>
    <w:p>
      <w:pPr>
        <w:pStyle w:val="TextBody"/>
        <w:bidi w:val="0"/>
        <w:spacing w:before="240" w:after="0"/>
        <w:jc w:val="left"/>
        <w:rPr>
          <w:rFonts w:ascii="Times New Roman" w:hAnsi="Times New Roman"/>
          <w:sz w:val="20"/>
        </w:rPr>
      </w:pPr>
      <w:r>
        <w:rPr>
          <w:rFonts w:ascii="Times New Roman" w:hAnsi="Times New Roman"/>
          <w:sz w:val="20"/>
        </w:rPr>
        <w:t xml:space="preserve">The FDA has broad post-market and regulatory enforcement powers. We and our third-party suppliers are subject to unannounced inspections by the FDA to determine our compliance with the QSR and other regulations at both our design and third-party manufacturing facilities, and these inspections may include the manufacturing facilities of our suppliers. We can provide no assurance that we will continue to remain in compliance with the QSR. If the FDA inspect any of our facilities or our third-party suppliers facilities and discover compliance problems, we may have to cease manufacturing and product distribution until we can take the appropriate remedial steps to correct the audit findings. Taking corrective action may be expensive, time consuming and a distraction for management, which may have an adverse impact on our ability to continue with our research and development projects and implement our business growth plans.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our products cause or contribute to a death or serious injury, or malfunction in a way that would likely cause or contribute to a death or serious injury, we will be subject to medical device reporting regulations and other applicable laws, and may need to initiate voluntary or mandatory corrective actions, such as the recall of our healthcare products. </w:t>
      </w:r>
    </w:p>
    <w:p>
      <w:pPr>
        <w:pStyle w:val="TextBody"/>
        <w:bidi w:val="0"/>
        <w:spacing w:before="240" w:after="0"/>
        <w:jc w:val="left"/>
        <w:rPr>
          <w:rFonts w:ascii="Times New Roman" w:hAnsi="Times New Roman"/>
          <w:sz w:val="20"/>
        </w:rPr>
      </w:pPr>
      <w:r>
        <w:rPr>
          <w:rFonts w:ascii="Times New Roman" w:hAnsi="Times New Roman"/>
          <w:sz w:val="20"/>
        </w:rPr>
        <w:t xml:space="preserve">Under the FDAs medical device reporting regulations, we are required to report to the FDA when we receive or become aware of information that reasonably suggests that one or more of our products may have caused or contributed to a death or serious injury or in which a product of ours malfunctioned and, if the malfunction were to recur, would be likely to cause or contribute to death or serious injury. Other countries we may market our products to in the future will similarly have regulatory agencies requiring us to report any incident in which our products cause or contribute to a death or serious injury, or malfunction in a way that would likely cause or contribute to a death or serious injury. The timing of our obligation to report is triggered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including when the FDA may disagree with our determination that an event was not reportable, the FDA or other governmental authorities could take action, including warning letters, untitled letters, administrative actions, criminal prosecution, imposition of civil monetary penalties, revocation of our device clearance, seizure of our products or delay in clearance of future products. </w:t>
      </w:r>
    </w:p>
    <w:p>
      <w:pPr>
        <w:pStyle w:val="TextBody"/>
        <w:bidi w:val="0"/>
        <w:spacing w:before="240" w:after="0"/>
        <w:jc w:val="left"/>
        <w:rPr>
          <w:rFonts w:ascii="Times New Roman" w:hAnsi="Times New Roman"/>
          <w:sz w:val="20"/>
        </w:rPr>
      </w:pPr>
      <w:r>
        <w:rPr>
          <w:rFonts w:ascii="Times New Roman" w:hAnsi="Times New Roman"/>
          <w:sz w:val="20"/>
        </w:rPr>
        <w:t xml:space="preserve">The FDA and similar foreign regulatory authorities have the authority to require the recall of our products in the event of material deficiencies or defects in, for example, design, labeling or manufacture. The FDA must find that there is a reasonable probability that the device would cause serious adverse health consequences or death in order to require a recall. The standard for recalling deficient products may be different in foreign jurisdictions. Manufacturers may, under their own initiative, recall a product if any material deficiency is found in a device or they become aware of a safety issue involving a marketed product. A government-mandated or voluntary recall by us could occur as a result of component failures, manufacturing errors, design or labeling defects or other deficiencies and issues. Any correction or removal initiated by us to reduce a health risk posed by our device, or to remedy a violation of the Federal Food, Drug, and Cosmetic Act or other regulations caused by our product that may present a risk to health, must be reported to the FDA. If the FDA subsequently determines that a report was required for a correction or removal of our products that we did not believe required a report, we could be subject to enforcement actions. </w:t>
      </w:r>
    </w:p>
    <w:p>
      <w:pPr>
        <w:pStyle w:val="TextBody"/>
        <w:bidi w:val="0"/>
        <w:spacing w:before="240" w:after="0"/>
        <w:jc w:val="left"/>
        <w:rPr>
          <w:rFonts w:ascii="Times New Roman" w:hAnsi="Times New Roman"/>
          <w:sz w:val="20"/>
        </w:rPr>
      </w:pPr>
      <w:r>
        <w:rPr>
          <w:rFonts w:ascii="Times New Roman" w:hAnsi="Times New Roman"/>
          <w:sz w:val="20"/>
        </w:rPr>
        <w:t xml:space="preserve">Any recalls or corrections of our products or enforcement actions would divert managerial and financial resources and could have an adverse effect on our financial condition and results of operations. 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 In addition, given our dependence upon healthcare provider and consumer perceptions, any negative publicity associated with any recalls could materially and adversely affect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may also be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revenues, in addition to the FDA enforcement actions. Any corrective action, voluntary or involuntary, as well as defending ourselves in a lawsuit, will require the dedication of our time and capital, attention of our management, and may harm our reputation,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do not obtain international regulatory registrations, clearances, certifications or approvals for our products, we will be unable to market and offer our products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future distribution of our products outside of the United States is subject to foreign regulatory requirements that we have limited experience with and that may vary widely from country to country. As of the date of this prospectus,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selected international markets. We anticipate Western Europe to be our initial focus due to favorable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dynamics and our goal is to obtain regulatory approvals to begin distributing our ASSURE WCD in certain markets in Western Europe within the next three years. There is no assurance of when we will successfully obtain the CE Mark, if at all. In addition, as a result of the United Kingdom leaving the European Union, since January 1, 2021, the regulatory framework and regimes for medical devices in the United Kingdom and the European Union have diverged. As such, we may need to invest additional time and resources to obtain the relevant approvals if we intend to distribute our products in both the European Union and in the United Kingdom. We may incur significant costs in our efforts to obtain foreign regulatory approvals and there is no assurance that we will generate sufficient revenues to offset such costs.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Moreover, clinical studies or manufacturing processes conducted in one country may not be accepted by regulatory authorities in other countries.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 </w:t>
      </w:r>
    </w:p>
    <w:p>
      <w:pPr>
        <w:pStyle w:val="TextBody"/>
        <w:bidi w:val="0"/>
        <w:spacing w:before="240" w:after="0"/>
        <w:jc w:val="left"/>
        <w:rPr>
          <w:rFonts w:ascii="Times New Roman" w:hAnsi="Times New Roman"/>
          <w:sz w:val="20"/>
        </w:rPr>
      </w:pPr>
      <w:r>
        <w:rPr>
          <w:rFonts w:ascii="Times New Roman" w:hAnsi="Times New Roman"/>
          <w:sz w:val="20"/>
        </w:rPr>
        <w:t xml:space="preserve">Regulatory clearance or approval by the FDA does not ensure registration, clearance, certification or approval by regulatory authorities in other countries, and registration, clearance, certification or approval by one or more foreign regulatory authorities does not ensure registration, clearance, certification or approval by regulatory authorities in other foreign countries or by the FDA. However, a failure or delay in obtaining registration or regulatory clearance, certification or approval in one country may have a negative effect on the regulatory process in others.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Healthcare reform measures could hinder or prevent the commercialization of our products and our ability to achieve profitability.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we expect there will continue to be, a number of legislative and regulatory changes to the healthcare system that could harm our future revenue and profitability. Federal and state lawmakers regularly propose and, at times, enact legislation that would result in significant changes to the healthcare system, some of which are intended to contain or reduce the costs of medical products and services. For example, the Affordable Care Act contains a number of provisions, including those governing enrollment in government healthcare programs, reimbursement changes and fraud and abuse measures, all of which will impact existing government healthcare programs and will result in the development of new programs. </w:t>
      </w:r>
    </w:p>
    <w:p>
      <w:pPr>
        <w:pStyle w:val="TextBody"/>
        <w:bidi w:val="0"/>
        <w:spacing w:before="240" w:after="0"/>
        <w:jc w:val="left"/>
        <w:rPr>
          <w:rFonts w:ascii="Times New Roman" w:hAnsi="Times New Roman"/>
          <w:sz w:val="20"/>
        </w:rPr>
      </w:pPr>
      <w:r>
        <w:rPr>
          <w:rFonts w:ascii="Times New Roman" w:hAnsi="Times New Roman"/>
          <w:sz w:val="20"/>
        </w:rPr>
        <w:t xml:space="preserve">Under the prior Trump administration, there were ongoing efforts to modify or repeal all or certain provisions of the Affordable Care Act. For example, tax reform legislation was enacted at the end of 2017 that eliminated the tax penalty established under Affordable Care Act for individuals who do not maintain mandated health insurance coverage beginning in 2019. The Affordable Care Act has also been subject to judicial challenge. The case </w:t>
      </w:r>
      <w:r>
        <w:rPr>
          <w:rFonts w:ascii="Times New Roman" w:hAnsi="Times New Roman"/>
          <w:i/>
          <w:sz w:val="20"/>
        </w:rPr>
        <w:t>Texas v. Azar</w:t>
      </w:r>
      <w:r>
        <w:rPr>
          <w:rFonts w:ascii="Times New Roman" w:hAnsi="Times New Roman"/>
          <w:sz w:val="20"/>
        </w:rPr>
        <w:t xml:space="preserve">, which challenges the constitutionality of the Affordable Care Act, including provisions that are unrelated to healthcare reform but were enacted as part of the Affordable Care Act, was argued before the Supreme Court in November 2020. The Supreme Court determined the Affordable Care Act would remain in place. The nature and scope of healthcare reform in the wake of the transition from the Biden administration to the new Trump administration remains uncertain. </w:t>
      </w:r>
    </w:p>
    <w:p>
      <w:pPr>
        <w:pStyle w:val="TextBody"/>
        <w:bidi w:val="0"/>
        <w:spacing w:before="240" w:after="0"/>
        <w:jc w:val="left"/>
        <w:rPr>
          <w:rFonts w:ascii="Times New Roman" w:hAnsi="Times New Roman"/>
          <w:sz w:val="20"/>
        </w:rPr>
      </w:pPr>
      <w:r>
        <w:rPr>
          <w:rFonts w:ascii="Times New Roman" w:hAnsi="Times New Roman"/>
          <w:sz w:val="20"/>
        </w:rPr>
        <w:t xml:space="preserve">There likely will continue to be legislative and regulatory proposals at the federal and state levels directed at containing or lowering the cost of healthcare, particularly in light of the new Trump administration which has stated its intent to make some changes to the regulatory landscape overseen by the HHS, including the FDA. We cannot predict the initiatives that may be adopted in the future or their full impact. The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efforts of the government, insurance companies, managed care organizations and other payors of healthcare services to contain or reduce costs of healthcare may harm: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2"/>
        <w:gridCol w:w="8981"/>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set a price that we believe is fair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revenue and achieve or maintain profitability;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regulatory application and approval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fail to maintain required licenses, certifications, or accreditation, or if we do not fully comply with requirements to provide notice to or obtain approval from regulatory authorities due to changes in our ownership structure or operation, it could adversely impact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maintain state and/or federal licenses and certifications for our operations and facilities. From time to time, we may become subject to new or different licensing requirements due to legislative or regulatory requirements or the development of or changes to our business. We are subject to periodic inspection by governmental and other authorities to assure continued compliance with the various standards necessary for licensing and certifications, some of which are complex and may be unclear or subject to varying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Accurate licensure is also a critical threshold issue for Medicare enrollment as a DMEPOS Supplier, which is required in order to bill Medicare for products provided to Medicare beneficiaries. In addition, many private payors and Medicaid agencies require DMEPOS suppliers to maintain Medicare enrollment, and we are required to comply with the Medicare DMEPOS Supplier Standard in order to maintain such Medicare enrollment. Although we believe we have the right systems in place to monitor licensure and certification, our failure to obtain and maintain appropriate licensure or certification for our operations, facilities, and healthcare providers could result in interruptions in our operations and our ability to service patients, refunds to state and/or federal payors, and the imposition of sanctions or fines, which could have an adverse and material impact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Accreditation is required by most commercial payors and is a mandatory requirement for all Medicare DMEPOS suppliers. Our company has received DME accreditation via a virtual inspection and a confirmatory onsite visit. CMS has also issued a Medicare P-TAN number to our company as a Medicare DMEPOS supplier. If we fail to maintain our accreditation or Medicare P-TAN number, or lose our accreditation or Medicare P-TAN number, it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for licensure and certification may include notification or approval in the event of a transfer or change of ownership or certain other changes. Government healthcare programs or commercial payors with which we intend to enter into contracts may have similar requirements and some of those processes may be complex. Failure to provide required notifications or obtain the requisite approvals could result in the delay or inability to complete an acquisition or transfer, loss of licensure, lapses in reimbursement or other penalties. While we make reasonable efforts to substantially comply with these requirements, if we are found to have failed to comply in some material respect, it could have an adverse or material impact on our business and our financial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Compliance with environmental laws and regulations could be expensive, and failure to comply with these laws and regulations could subject us to significant liability. </w:t>
      </w:r>
    </w:p>
    <w:p>
      <w:pPr>
        <w:pStyle w:val="TextBody"/>
        <w:bidi w:val="0"/>
        <w:spacing w:before="240" w:after="0"/>
        <w:jc w:val="left"/>
        <w:rPr>
          <w:rFonts w:ascii="Times New Roman" w:hAnsi="Times New Roman"/>
          <w:sz w:val="20"/>
        </w:rPr>
      </w:pPr>
      <w:r>
        <w:rPr>
          <w:rFonts w:ascii="Times New Roman" w:hAnsi="Times New Roman"/>
          <w:sz w:val="20"/>
        </w:rPr>
        <w:t xml:space="preserve">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as a result of human error, accidents, equipment failure or other causes. The expense associated with environmental regulation and remediation could materially adversely affect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 </w:t>
      </w:r>
    </w:p>
    <w:p>
      <w:pPr>
        <w:pStyle w:val="TextBody"/>
        <w:bidi w:val="0"/>
        <w:spacing w:before="240" w:after="0"/>
        <w:jc w:val="left"/>
        <w:rPr>
          <w:rFonts w:ascii="Times New Roman" w:hAnsi="Times New Roman"/>
          <w:sz w:val="20"/>
        </w:rPr>
      </w:pPr>
      <w:r>
        <w:rPr>
          <w:rFonts w:ascii="Times New Roman" w:hAnsi="Times New Roman"/>
          <w:sz w:val="20"/>
        </w:rPr>
        <w:t xml:space="preserve">Our products contain software tools licensed by third parties under open source software licenses. Use and distribution of open source software may entail greater risks than use of third-party commercial software, as open source software licenses generally do not provide warranties or other contractual protections regarding infringement claims or the quality of the code and have not been interpreted by United States courts. We may be subject to suits by third parties claiming ownership of what we believe to be open source software, or claiming non-compliance with the applicable open source licensing terms.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 Use of open source software may also present additional security risks because the public availability of such software may make it easier for hackers and other third parties to compromise or attempt to compromise our technology platform and systems.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Bain Capital controls us, and its interests may conflict with ours or yours.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this offering, Bain Capital will own approximately 50.4% of our common shares, or 48.6% if the underwriters exercise in full their over-allotment option, which means that, based on its percentage voting power held after this offering, Bain Capital will control the vote of all matters submitted to a vote of our shareholders, which will enable it to control the election of the members of our Board of Directors and other corporate decisions. Even when Bain Capital ceases to own a portion of our shares representing a majority of the total voting power, for so long as Bain Capital continues to own a significant percentage of our shares, Bain Capital will still be able to significantly influence actions relating to the composition of our Board of Directors, new issuances of equity, including to our employees under equity incentive plans, amendments of our organizational documents and approval of any merger, amalgamation, sale of assets or other major corporate transaction. Accordingly, for such period of time, Bain Capital will have substantial influence with respect to our management, business plans and policies. In particular, for so long as Bain Capital continues to own a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percentage of our shares, Bain Capital will be able to cause or prevent a change of control of us or a change in the composition of our Board of Directors and could preclude any unsolicited acquisition of us. The concentration of ownership could deprive you of an opportunity to receive a premium for your common shares as part of a sale of us and ultimately might affect the market price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Bain Capital and its affiliates engage in a broad spectrum of activities, including investments in the healthcare industry generally. In the ordinary course of its business activities Bain Capital and its affiliates may engage in activities where their respective interests conflict with our interests or those of our other shareholders, such as investing in or advising businesses that directly or indirectly compete with certain portions of our business or are suppliers or customers of ours. Bain Capital also may pursue acquisition opportunities that may be complementary to our business, and, as a result, those acquisition opportunities may not be available to us. In addition, Bain Capital may have an interest in pursuing acquisitions, divestitures and other transactions that, in its judgment, could enhance its investment, even though such transactions might involve risks to you.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to be in effect upon the closing of this offering will provide that the Company will renounce to the fullest extent permitted by applicable law any interest or expectancy in, or in being offered an opportunity to participate in, any business opportunity that may from time to time be presented to Bain Charger and its affiliates, and that may be a business opportunity for such parties, even if the opportunity is one that the Company might reasonably have pursued or had the ability or desire to pursue if granted the opportunity to do so. In addition, to the fullest extent permitted by applicable law, Bain Charger and its affiliates will not be liable to the Company for breach of any fiduciary or other duty by reason of the fact that Bain Charger pursues or acquires any such business opportunity, directs any such business opportunity to another person or fails to present any such business opportunity, or information regarding any such business opportunity, to us. Bain Charger and its affiliates do not have any duty to refrain from engaging directly or indirectly in the same or similar business activities or lines of business as the Company or any of its subsidiaries.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Upon listing of our shares on the Nasdaq Global Select Market, we will be a controlled company within the meaning of the Nasdaq rules and, as a result, we will qualify for exemptions from certain corporate governance requirements. You will not have the same protections as those afforded to shareholders of companies that are subject to such governance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this offering, Bain Capital will continue to control a majority of the voting power of our outstanding common shares. As a result, we will be a controlled company within the meaning of the corporate governance standards of the Nasdaq Global Select Market. However, depending on the price of the shares offered and the number of common shares offered by us, as set forth on the cover page of this prospectus, Bain Charger may not continue to own a majority of the voting power of our outstanding common shares eligible to vote in the election of our directors. As a result, we may not be a controlled company within the meaning of the corporate governance standards of the Nasdaq Global Select Market. Under these controlled company rules, a company of which more than 50% of the voting power for the election of directors is held by an individual, group or another company is a controlled company and may elect not to comply with certain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our Board of Directors consist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2"/>
        <w:gridCol w:w="8983"/>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we have a nominating and corporate governance committee that is composed entirely of independent directors with a written charter addressing the committees purpose and responsibilities;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we have a compensation committee that is composed entirely of independent directors with a written charter addressing the committees purpose and responsibilities;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for an annual performance evaluation of the nominating and corporate governance and compensation committees.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this offering, we may elect to utilize one or more of these exemptions. Accordingly, you will not have the same protections afforded to shareholders of companies that are subject to all of the corporate governance requirements of the Nasdaq Global Select Market.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an emerging growth company and a smaller reporting company, and our compliance with the reduced reporting and disclosure requirements applicable to emerging growth companies and smaller reporting companies could make our common shares less attractive to investors.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JOBS Act, and may remain an emerging growth company for up to five years. For as long as we are an emerging growth company, we will not be required to comply with certain requirements that are applicable to other public companies that are not emerging growth companies, including the auditor attestation requirements of Section 404 of the Sarbanes-Oxley Act, and may also take advantage of the reduced disclosure obligations regarding executive compensation in our periodic reports, proxy statements and registration statements and the exemptions from the requirements of holding a nonbinding advisory vote on executive compensation and obtaining shareholder approval of any golden parachute payments not previously approved. As a result, the information we provide shareholders will be different than the information that is available with respect to other public companies. In this prospectus, we have not included all of the executive compensation related information that would be required if we were not an emerging growth company and we have provided only two years of audited financial statements and only two years of related Managements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JOBS Act, emerging growth companies can delay adopting new or revised accounting standards issued subsequent to the enactment of the JOBS Act until such time as those standards apply to private companies. 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As a result of these elections, our financial statements may not be comparable to those of public companies that comply with such new or revised accounting standards.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 </w:t>
      </w:r>
    </w:p>
    <w:p>
      <w:pPr>
        <w:pStyle w:val="TextBody"/>
        <w:bidi w:val="0"/>
        <w:spacing w:before="240" w:after="0"/>
        <w:jc w:val="left"/>
        <w:rPr>
          <w:rFonts w:ascii="Times New Roman" w:hAnsi="Times New Roman"/>
          <w:b/>
          <w:i/>
          <w:sz w:val="20"/>
        </w:rPr>
      </w:pPr>
      <w:r>
        <w:rPr>
          <w:rFonts w:ascii="Times New Roman" w:hAnsi="Times New Roman"/>
          <w:b/>
          <w:i/>
          <w:sz w:val="20"/>
        </w:rPr>
        <w:t xml:space="preserve">An active, liquid trading market for our common shares may not develop, which may limit your ability to sell your shares.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was no public market for our common shares. We have been approved to list our common shares on The Nasdaq Global Select Market under the symbol KMTS. However, an active trading market for our shares may never develop or be sustained following this offering. The initial public offering price was determined by negotiations among us and the representatives of the underwriters and may not be indicative of market prices of our common shares that will prevail in the open market after the offering. A public trading market having the desirable characteristics of depth, liquidity and orderliness depends upon the existence of willing buyers and sellers at any given time, such existence being dependent upon the individual decisions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buyers and sellers over which neither we nor any market maker has control. The failure of an active and liquid trading market to develop and continue would likely have a material adverse effect on the value of our common shares. The market price of our common shares may decline below the initial public offering price, and you may not be able to sell your shares at or above the price you paid in this offering, or at all. An inactive market may also impair our ability to raise capital to continue to fund operations by selling shares and may impair our ability to acquire other technologies related to our business by using our shares as consideration.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share price may be volatile, and you may be unable to resell your shares at or above the initial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shares may be highly volatile and may fluctuate or decline substantially as a result of a variety of factors.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We and the underwriters have negotiated the initial public offering price. You may not be able to resell your shares at or above the initial public offering price or at all. The public trading price for our common shares after this offering will be affected by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analysts estimates, investors perceptions, recommendations by securities analysts or our failure to achieve analysts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variations in our or our competitors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periodic fluctuations in our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we may provide to the public, any changes in these projections or our failure to meet these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unrelated to our operating performance or the operating performance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reimbursement by potential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other technology companies generally, or those in the medical device industry in particular;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regulatory oversight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personnel, including changes in our Board of Directors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legislation or regulation of our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lawsuits threatened or filed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announcement of new products or product enhancements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or completed acquisitions of businesses or technologies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related to patents issued to us or our competitors and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trends;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public health crises;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our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many of which are beyond our control, may cause our results of operations and the market price and demand for our shares to fluctuate substantially. In addition, the share prices of many companies in the medical device industry have experienced wide fluctuations that have often been unrelated to the operating performance of those companies. While we believe that results of operations for any particular quarter are not necessarily a meaningful indication of future results, fluctuations in our quarterly results of operations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a passive foreign investment company, which could result in adverse U.S. federal income tax consequences to United States Holders. </w:t>
      </w:r>
    </w:p>
    <w:p>
      <w:pPr>
        <w:pStyle w:val="TextBody"/>
        <w:bidi w:val="0"/>
        <w:spacing w:before="240" w:after="0"/>
        <w:jc w:val="left"/>
        <w:rPr>
          <w:rFonts w:ascii="Times New Roman" w:hAnsi="Times New Roman"/>
          <w:sz w:val="20"/>
        </w:rPr>
      </w:pPr>
      <w:r>
        <w:rPr>
          <w:rFonts w:ascii="Times New Roman" w:hAnsi="Times New Roman"/>
          <w:sz w:val="20"/>
        </w:rPr>
        <w:t xml:space="preserve">Under the United States Internal Revenue Code of 1986, as amended (the Code), a non-U.S. corporation (such as ourselves) will be classified as a passive foreign investment company (a PFIC) for any taxable year if, for such year after the application of certain look-through rules with respect to subsidiaries, either (1) at least 75% of our gross income for the year is passive income (as described below), or (2) the average percentage of our assets (determined at the end of each quarter) during the taxable year which produce passive income or which are held for the production of passive income is at least 50%. Passive income generally includes dividends, interest, rents, royalties (other than rents or royalties derived from the active conduct of a trade or business) and gains from the disposition of passive assets. </w:t>
      </w:r>
    </w:p>
    <w:p>
      <w:pPr>
        <w:pStyle w:val="TextBody"/>
        <w:bidi w:val="0"/>
        <w:spacing w:before="240" w:after="0"/>
        <w:jc w:val="left"/>
        <w:rPr>
          <w:rFonts w:ascii="Times New Roman" w:hAnsi="Times New Roman"/>
          <w:sz w:val="20"/>
        </w:rPr>
      </w:pPr>
      <w:r>
        <w:rPr>
          <w:rFonts w:ascii="Times New Roman" w:hAnsi="Times New Roman"/>
          <w:sz w:val="20"/>
        </w:rPr>
        <w:t xml:space="preserve">If it is determined that we are a PFIC for any taxable year (or portion thereof) that is included in the holding period of a U.S. Holder (as defined in Material Bermuda, Irish and U.S. Federal Income Tax ConsiderationsU.S. Federal Income Tax Consequences for U.S. Holders), such U.S. Holder may be subject to increased U.S. federal income tax liability and may be subject to additional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Based on the nature of our business, our financial statements, our expectations about the nature and amount of our income, assets and activities and the expected price of our common shares in this offering, we do not expect to be a PFIC for U.S. federal income tax purposes for the current taxable year or in the foreseeable future. However, whether we will be a PFIC in the current year or any future year is a factual determination that must be made annually at the close of each taxable year, and, thus, is subject to significant uncertainty. Among other things, a determination of whether we are a PFIC will depend on the composition of our income and assets and the market value of our assets from time to time. Accordingly, there can be no assurance that we will not be a PFIC in the current year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a U.S. Holder holds our common shares, we generally would continue to be treated as a PFIC with respect to that U.S. Holder for all succeeding years during which the U.S. Holder holds our common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We do not currently expect to provide information that would allow a U.S. Holder to make a qualifying electing fund election (a QEF Election) in the event that we are classified as a PFIC and, therefore, U.S. Holders should assume such election would not be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more detailed discussion of the application of the PFIC rules to us and the consequences to U.S. Holders if we were determined to be a PFIC, see Material Bermuda, Irish and U.S. Federal Income TaxationU.S. Federal Income Tax Consequences for U.S. HoldersPassive Foreign Investment Company. </w:t>
      </w:r>
    </w:p>
    <w:p>
      <w:pPr>
        <w:pStyle w:val="TextBody"/>
        <w:bidi w:val="0"/>
        <w:spacing w:before="240" w:after="0"/>
        <w:jc w:val="left"/>
        <w:rPr>
          <w:rFonts w:ascii="Times New Roman" w:hAnsi="Times New Roman"/>
          <w:b/>
          <w:i/>
          <w:sz w:val="20"/>
        </w:rPr>
      </w:pPr>
      <w:r>
        <w:rPr>
          <w:rFonts w:ascii="Times New Roman" w:hAnsi="Times New Roman"/>
          <w:b/>
          <w:i/>
          <w:sz w:val="20"/>
        </w:rPr>
        <w:t xml:space="preserve">A sale of a substantial number of shares of our common shares may cause the price of our common shares to decline. </w:t>
      </w:r>
    </w:p>
    <w:p>
      <w:pPr>
        <w:pStyle w:val="TextBody"/>
        <w:bidi w:val="0"/>
        <w:spacing w:before="240" w:after="0"/>
        <w:jc w:val="left"/>
        <w:rPr>
          <w:rFonts w:ascii="Times New Roman" w:hAnsi="Times New Roman"/>
          <w:sz w:val="20"/>
        </w:rPr>
      </w:pPr>
      <w:r>
        <w:rPr>
          <w:rFonts w:ascii="Times New Roman" w:hAnsi="Times New Roman"/>
          <w:sz w:val="20"/>
        </w:rPr>
        <w:t xml:space="preserve">If our existing shareholders sell, or indicate an intention to sell, substantial amounts of our common shares in the public market after the lapse of lock-up and other legal restrictions on resale discussed in this prospectus, the trading price of our common shares could decline. Based on shares outstanding as of October 31, 2024, following the Organizational Transactions and upon completion of this offering, we will have outstanding a total of 49,533,819 common shares. Of these shares, all of the common shares sold in this offering will be freely tradable, without restriction, in the public market immediately after the offering, other than the shares purchased by certain of our existing investors, which will be subject to lock-up agreements, as described below. Each of our directors and officers and substantially all of our other shareholders have entered into a lock-up agreement with the underwriters that restricts their ability to sell or transfer their shares. The lock-up agreements pertaining to this offering will expire 180 days from the date of this prospectus. BofA Securities, Inc., Goldman Sachs &amp; Co. LLC and Piper Sandler &amp; Co., however, may, in their sole discretion, waive the contractual lock-up prior to the expiration of the lock-up agreements. After the lock-up agreements expire, based on shares outstanding as of October 31, 2024, 37,651,467 common shares, plus any shares purchased in this offering by our existing investors, will be eligible for sale in the public market, of which 25,756,081 shares, plus any shares purchased in this offering by certain of our existing investors, will be held by directors, executive officers and other affiliates and will be subject to volume limitations under Rule 144 under the Securities Act, and various vesting agreements. After this offering, the holders of an aggregate of 37,202,747 shares of our outstanding common shares as of October 31, 2024, will have rights, subject to some conditions, to require us to file registration statements covering their shares or to include their shares in registration statements that we may file for ourselves or our shareholders. In addition, upon the consummation of this offering, there will be 4,644,400 common shares underlying outstanding stock options granted to our NEOs and certain other employees immediately following the pricing of this offering, with an exercise price equal to the initial public offering price. Such common shares will become eligible for sale in the public market to the extent permitted by the provisions of various vesting agreements, the lock-up agreements and Rules 144 and 701 under the Securities Act. Additionally, 12,890,000 common shares will be reserved for issuance under our new equity incentive plan. We intend to file a registration statement on Form S-8 under the Securities Act covering all of the common shares subject to options outstanding and reserved for issuance under our share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shares could decline.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will have broad discretion in the use of net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over the use and investment of the net proceeds of this offering. We intend to use the majority of the net proceeds from this offering to scale up our commercial operations, including through investments in our commercial organization by the hiring of additional sales representatives, sales team leadership and clinical care specialists, as well as through investments in our fleet of devices, supply chain and revenue cycle management capabilities. We also expect to use proceeds of this offering to fund the research and development of continued innovation in our products and to fund trials to build upon our strong base of clinical evidence. Additionally, a portion of the proceeds of this offering will be used to fund offering and reorganization costs incurred by us as part of this offering. The proceeds will also be used for working capital and general corporate purposes. However, this expected use of the net proceeds from this offering represents our intentions based upon our current plans and business conditions, which could change in the future as our plans and business conditions evolve. Accordingly, investors in this offering will need to rely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judgment of our management with respect to the use of proceeds with only limited information concerning managements specific intentions. See Use of Proceeds for additional information.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a Bermuda company, and it may be difficult for you to enforce judgments against us or our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We are a Bermuda exempted company limited by shares. As a result, the rights of our shareholders are governed by Bermuda law, our memorandum of association and the amended and restated bye-laws to be in effect upon the closing of this offering. The rights of shareholders under Bermuda law may differ from the rights of shareholders of companies incorporated in another jurisdiction. It may be difficult for investors to effect service of process on concerned persons not resident in the United States or to enforce in the U.S. judgments obtained in U.S. courts against us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 See Enforcement of Civil Liabilities under U.S. Federal Securities Laws for additional information.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Bermuda law differs from the laws in effect in the United States and may afford less protection to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in the same way they are under the laws of the United States.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ultra vires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 </w:t>
      </w:r>
    </w:p>
    <w:p>
      <w:pPr>
        <w:pStyle w:val="TextBody"/>
        <w:bidi w:val="0"/>
        <w:spacing w:before="240" w:after="0"/>
        <w:jc w:val="left"/>
        <w:rPr>
          <w:rFonts w:ascii="Times New Roman" w:hAnsi="Times New Roman"/>
          <w:sz w:val="20"/>
        </w:rPr>
      </w:pPr>
      <w:r>
        <w:rPr>
          <w:rFonts w:ascii="Times New Roman" w:hAnsi="Times New Roman"/>
          <w:sz w:val="20"/>
        </w:rPr>
        <w:t xml:space="preserve">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amended and restated bye-laws to be in effect upon the closing of this offering and as permitted by Bermuda law, each shareholder will waive any claim or right of action against our directors or officers for any action taken by directors or officers in the performance of their duties, except for actions involving fraud or dishonesty or any claims of violations of the Securities Act or the Exchange Act. In addition, the rights of our shareholders and the fiduciary responsibilities of our directors under Bermuda law are not as clearly established as under statutes or judicial precedent in existence in jurisdictions in the United States, particularly the State of Delaware. Therefore, our shareholders may have more difficulty protecting their interests than would shareholders of a corporation incorporated in a jurisdiction within the United States.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There are regulatory limitations on the ownership and transfer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Common shares may be offered or sold in Bermuda only in compliance with the provisions of the Companies Act and the Bermuda Investment Business Act 2003 as amended, which regulates the sale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in Bermuda. In addition, the Bermuda Monetary Authority must approve all issues and transfers of shares of a Bermuda exempted company. However, the Bermuda Monetary Authority has, pursuant to its notice to the public of June 1, 2005, given its general permission under the Exchange Control Act 1972 and related regulations for the issue and free transfer of our common shares that are the subject of this offering to and among persons who are non-residents of Bermuda for exchange control purposes as long as the shares are listed on an appointed stock exchange, which includes the Nasdaq Global Select Market. The general permission would cease to apply if we were to cease to be listed on the Nasdaq Global Select Market or another appointed stock exchange.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anti-takeover provisions in our amended and restated bye-laws that may discourage a change of control, even if an acquisition would be beneficial to our shareholders, and may prevent attempts by our shareholders to replace or remove our current management.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to be in effect upon the closing of this offering contain provisions that could make it more difficult for a third party to acquire us without the consent of our Board of Directors. These provisions provide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classified Board of Directors with staggered three-year terms until the seventh annual general meeting of shareholders after the completion of this offering (the Triggering Annual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only to be removed for cause and only with a resolution passed by holders of at least 66 2/3% of all issued shares entitled to vote, from and after the date that Bain Charger and its affiliates cease to beneficially own at least 50% of the issued common shares of our company (the Trigger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Trigger Event, amendments to our amended and restated bye-laws and memorandum of association will require the approval of our Board of Directors and a resolution passed by holders of at least 66 2/3% of all issued shares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Trigger Event, only permit shareholder action by written consent when it is unanimously approved by our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time period in which directors may be 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shareholders ability to call special general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Board of Directors to determine the powers, preferences and rights of preference shares and to cause us to issue the preference shares without shareholder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although the Companies Act does not contain specific provisions regarding business combinations between companies organized under the laws of Bermuda and interested shareholders, we will include these provisions in our amended and restated bye-laws to be in effect upon the closing of this offering. Specifically, our amended and restated bye-laws to be in effect upon the closing of this offering will contain provisions which prohibit us, subject to certain exceptions, from engaging in business combinations and other specified transactions with persons (excluding Bain Charger and its affiliates) for a period of three years after the time of the transaction in which the person acquired 15% or more of our issued voting shares. See Description of Share CapitalBusiness Combinations. </w:t>
      </w:r>
    </w:p>
    <w:p>
      <w:pPr>
        <w:pStyle w:val="TextBody"/>
        <w:bidi w:val="0"/>
        <w:spacing w:before="240" w:after="0"/>
        <w:jc w:val="left"/>
        <w:rPr>
          <w:rFonts w:ascii="Times New Roman" w:hAnsi="Times New Roman"/>
          <w:sz w:val="20"/>
        </w:rPr>
      </w:pPr>
      <w:r>
        <w:rPr>
          <w:rFonts w:ascii="Times New Roman" w:hAnsi="Times New Roman"/>
          <w:sz w:val="20"/>
        </w:rPr>
        <w:t xml:space="preserve">These anti-takeover defenses could discourage, delay or prevent a transaction involving a change of control of our company and may prevent our shareholders from receiving the benefit from any premium to the market price of our common shares offered by a bidder in a takeover context. Even in the absence of a takeover attempt, the existence of these provisions may adversely affect the prevailing market price of our common shares if the provisions are viewed as discouraging takeover attempts in the future. These provisions could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discourage proxy contests, make it more difficult for our shareholders to elect directors of their choosing and cause us to take corporate actions other than those our shareholders desire. See Description of Share Capital.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amended and restated bye-laws will provide that the Supreme Court of Bermuda or the federal district courts of the United States will be the exclusive forum for certain types of lawsuits and this may have the effect of discouraging lawsuits against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will provide that, unless we, in writing, select or consent to the selection of an alternate forum, the Supreme Court of Bermuda shall be the exclusive forum for any dispute that arises under the Companies Act or out of or in connection with our amended and restated bye-laws, including any question regarding the existence, validity, application, enforceability or scope of any bye-law and/or whether there has been any breach of the Companies Act or our amended and restated bye-laws or any breach of a duty (including any fiduciary duty) by, or other wrongdoing by, a current or former officer, director, employee, agent or shareholder of the Company to the Company or its shareholders (whether or not such a claim is brought in the name of a shareholder or in the name of the Company). Further, unless we select or consent to the selection of an alternative forum, to the fullest extent permitted by applicable law, the federal district courts of the United States shall be the exclusive forum for the resolution of any complaint asserting a cause of action arising under the Securities Act against the Company or any director, officer, employee or agent of the Company. Notwithstanding the foregoing, these provisions in our amended and restated bye-laws will not apply to suits brought to enforce any liability or duty created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Any person or entity purchasing or otherwise acquiring or holding any interest in our common shares shall be deemed to have notice of and to have consented to the forum selection provisions described in our amended and restated bye-laws. These exclusive forum provisions may limit a shareholders ability to bring a claim in a judicial forum that it finds favorable for disputes with us or any of our directors, officers, or shareholders, which may discourage lawsuits with respect to such claims. Our shareholders will not be deemed to have waived our compliance with the federal securities laws and the rules and regulations thereunder as a result of our exclusive forum provisions. Further, in the event a court finds the exclusive forum provisions contained in our amended and restated bye-laws to be unenforceable or inapplicable in an action, we may incur additional costs associated with resolving such action in other jurisdictions, which could harm our business, operating results and financial condition.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historically not paid cash dividends and do not expect to pay cash dividends in the foreseeable future, and, as a result, any return on investment may be limited to the value of our shares. </w:t>
      </w:r>
    </w:p>
    <w:p>
      <w:pPr>
        <w:pStyle w:val="TextBody"/>
        <w:bidi w:val="0"/>
        <w:spacing w:before="240" w:after="0"/>
        <w:jc w:val="left"/>
        <w:rPr>
          <w:rFonts w:ascii="Times New Roman" w:hAnsi="Times New Roman"/>
          <w:sz w:val="20"/>
        </w:rPr>
      </w:pPr>
      <w:r>
        <w:rPr>
          <w:rFonts w:ascii="Times New Roman" w:hAnsi="Times New Roman"/>
          <w:sz w:val="20"/>
        </w:rPr>
        <w:t xml:space="preserve">We have historically not paid cash dividends and do not anticipate paying cash dividends in the foreseeable future. The payment of cash dividends will depend on our earnings, capital requirements, financial condition, prospects and other factors our Board of Directors may deem relevant. Our Term Loan limits our ability to, among other things, pay dividends or make other distributions or payments on account of our common shares, in each case, subject to certain exceptions. In addition, pursuant to Bermuda law, we cannot declare or pay dividends, or make distributions out of our contributed surplus, if there are reasonable grounds for believing that (1) our Company is, or would after the payment be, unable to pay our liabilities as they become due or (2) the realizable value of our assets would thereby be less than our liabilities. Our ability to pay dividends is also restricted by covenants in our Term Loan. Additionally, because we are a holding company with no material direct operations, we are financially dependent on loans, dividends and other payments from our operating subsidiaries. To the extent that we decide to pay dividends on our common shares in the future, we will be dependent on our operating subsidiaries to make funds available to us for the payment of any such dividends. See Dividend Policy for more information. If we do not pay dividends, our shares may be less valuable because a return on your investment will only occur if you sell our common shares after our share price appreciates.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New investors purchasing our common shares will experience immediate and substantial dilution. </w:t>
      </w:r>
    </w:p>
    <w:p>
      <w:pPr>
        <w:pStyle w:val="TextBody"/>
        <w:bidi w:val="0"/>
        <w:spacing w:before="240" w:after="0"/>
        <w:jc w:val="left"/>
        <w:rPr>
          <w:rFonts w:ascii="Times New Roman" w:hAnsi="Times New Roman"/>
          <w:sz w:val="20"/>
        </w:rPr>
      </w:pPr>
      <w:r>
        <w:rPr>
          <w:rFonts w:ascii="Times New Roman" w:hAnsi="Times New Roman"/>
          <w:sz w:val="20"/>
        </w:rPr>
        <w:t xml:space="preserve">The initial public offering price of our common shares is expected to be substantially higher than the pro forma net tangible book value (deficit) per share of our common shares. Therefore, if you purchase shares of our common shares in this offering, you will pay a price per share that substantially exceeds our pro forma as adjusted net tangible book value (deficit) per share after this offering. You will experience immediate dilution of $12.53 per share, representing the difference between our pro forma as adjusted net tangible book value (deficit) per share after giving pro forma effect to this offering and the assumed initial public offering price. In addition, purchasers of common shares in this offering will have contributed 28.9% of the aggregate price paid by all purchasers of our shares but will own only approximately 24.0% of our common shares issued after this offering. See Dilution. In connection with this offering, the Existing KLIM Warrants and the Existing Perceptive Warrants will be canceled and Kestra Medical Technologies, Ltd. will issue new warrants to purchase an aggregate of 434,916 common shares of Kestra Medical Technologies, Ltd. pursuant to the Warrants. Any exercise of warrants issued under the Warrant Agreements could result in further dilution to our shareholders. See the section titled Organizational TransactionsWarrants.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will incur increased costs as a result of operating as a public company, and our management will be required to devote substantial time to compliance with our public company responsibilities and corporate governance practices.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 maintaining compliance with these requirements. Our management and other personnel will also need to devote a substantial amount of time toward compliance with the additional reporting requirements of the Exchange Act.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are unable to implement and maintain effective internal control over financial reporting, investors may lose confidence in the accuracy and completeness of our reported financial information, and the market price of our common shares may be negatively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are not currently required to comply with the SECs rules implementing Section 404 of the Sarbanes-Oxley Act and are therefore not required to make a formal assessment of the effectiveness of our internal control over financial reporting for that purpose. As a public company, we will be required to evaluate and determine the effectiveness of our internal control over financial reporting and, beginning with our second annual report after the completion of this offering, provide a management report on the effectiveness of our internal control over financial reporting. In connection with the preparation of our consolidated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we identified material weaknesses in our internal control over financial reporting as of April 30, 2024. For more information, see Risks Related to Our BusinessWe have identified material weaknesses in our internal control over financial reporting, and may identify additional material weaknesses. If our remediation of the material weaknesses is not effective, or we fail to develop and maintain effective internal control over financial reporting, our ability to produce timely and accurate financial statements could be impaired, which could harm our business and negatively impact the value of our common shares. Future evaluations by us of our internal control over financial reporting as a public company may identify additional material weaknesses. The identification of a material weakness in our internal control over financial reporting or the failure to remediate existing material weaknesses in our internal control over financial reporting may cause us to be unable to report our financial information on a timely basis and thereby subject us to adverse regulatory consequences, including sanctions by the SEC or violations of Nasdaq Global Select Market rules. Ensuring that we have adequate internal financial and accounting controls and procedures in place so that we can produce accurate financial statements on a timely basis may be a costly and time-consuming effort that will need to be evaluated frequently. </w:t>
      </w:r>
    </w:p>
    <w:p>
      <w:pPr>
        <w:pStyle w:val="TextBody"/>
        <w:bidi w:val="0"/>
        <w:spacing w:before="240" w:after="0"/>
        <w:jc w:val="left"/>
        <w:rPr>
          <w:rFonts w:ascii="Times New Roman" w:hAnsi="Times New Roman"/>
          <w:sz w:val="20"/>
        </w:rPr>
      </w:pPr>
      <w:r>
        <w:rPr>
          <w:rFonts w:ascii="Times New Roman" w:hAnsi="Times New Roman"/>
          <w:sz w:val="20"/>
        </w:rPr>
        <w:t xml:space="preserve">Moreover, when we are no longer an emerging growth company, our independent registered public accounting firm will be required to issue an audit report on the effectiveness of our internal control over financial reporting. An independent assessment of the effectiveness of our internal control over financial reporting could detect problems that our managements assessment might not. 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shares to decline.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publish negative reports about our business, our share price and trading volume could decline. </w:t>
      </w:r>
    </w:p>
    <w:p>
      <w:pPr>
        <w:pStyle w:val="TextBody"/>
        <w:bidi w:val="0"/>
        <w:spacing w:before="240" w:after="0"/>
        <w:jc w:val="left"/>
        <w:rPr>
          <w:rFonts w:ascii="Times New Roman" w:hAnsi="Times New Roman"/>
          <w:sz w:val="20"/>
        </w:rPr>
      </w:pPr>
      <w:r>
        <w:rPr>
          <w:rFonts w:ascii="Times New Roman" w:hAnsi="Times New Roman"/>
          <w:sz w:val="20"/>
        </w:rPr>
        <w:t xml:space="preserve">The trading market for our shares will be influenced, in part, by the research and reports that industry or securities analysts publish about us or our business. We do not have any control over these analysts. Securities and industry analysts do not currently, and may never, publish research on our company. If no securities or industry analysts commence coverage of our company, the trading price of our shares would likely be negatively impacted. In the event securities or industry analysts initiated coverage, and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shares, or if our results of operations do not meet their expectations, our share price could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744414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and Business, but are also contained elsewhere in this prospectus. In some cases, you can identify forward-looking statements by the words anticipate, believe, continue, could, estimate, expect, intend, may, might, objective, ongoing, plan, potential, predict, project, should,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expand the commercialization of our ASSURE WCD, including associated products and services as part of our Cardiac Recovery System platform, or to commercialize any future product candidates and begin generating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regulatory approvals for our ASSURE WCD and to obtain new regulatory approvals necessary to distribute our ASSURE WCD in new markets or to distribute additional products we develop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ASSURE WCD or any future product candidates that receive the necessary marketing and other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reimbursement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scale the manufacturing of our ASSURE WCD, obtain sufficient and timely supplies of components necessary to manufacture our ASSURE WCD and effectively manage inventory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qualified personnel, including senior management and sales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total addressable market and near-term achievable market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or clearances;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use of proceeds from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2"/>
        <w:gridCol w:w="8981"/>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growth plans, including our plans to enter into new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intellectual property protection for our products or defend ourselves against claims of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timing, costs and results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developments relating to our regulatory landscape;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and our expectations about market trends;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increased expenses associated with being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competitors and our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Any forward-looking statement that we make in this prospectus speaks only as of the date of such statement. We undertake no obligation to publicly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744414_4"/>
      <w:bookmarkEnd w:id="6"/>
      <w:r>
        <w:rPr>
          <w:rFonts w:ascii="Times New Roman" w:hAnsi="Times New Roman"/>
          <w:b/>
          <w:sz w:val="20"/>
        </w:rPr>
        <w:t xml:space="preserve">ORGANIZATIONAL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consummate the following organizational transactions prior to or concurrently with (unless otherwise stated) this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West Affum Holdings, L.P. will contribute all its equity interests, including preferred shares, in West Affum Intermediate Holdings to Kestra Medical Technologies, Ltd., the issuer in this offering, in exchange for common shares of Kestra Medical Technologies, Ltd., thereby making Kestra Medical Technologies, Ltd. the top parent company of West Affum Intermediate Holdings and all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Kestra Medical Technologies, Ltd. will deliver 37,651,467 newly-issued common shares with a par value of $1.00 per share to the holders of West Affum Holdings, L.P. Class A common units and incentive units (including a third-party investor who will receive Class A common units in West Affum Holdings, L.P. immediately prior to the distribution in exchange for its equity interests in West Affum Holdings Designated Activity Company) including 10,897 common shares of Kestra Medical Technologies, Ltd. that will be subject to vesting conditions, in consideration for the exchange of such holders interests in West Affum Holdings,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Kestra Medical Technologies, Ltd. will issue new warrants in consideration of the cancellation of certain warrants issued by West Affum Holdings, L.P. (see Warrant Transactions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West Affum Holdings, L.P. will continue to hold common shares of Kestra Medical Technologies, Ltd. for the benefit of the holders of common units in West Affum Holdings, L.P., including an affiliate of Bain Capital, until such time that such common shares are distributed by West Affum Holdings, L.P. to the remaining partners of West Affum Holdings, L.P., which is currently expected to occur approximately nine months after the consummation of this offering. The allocation of the number of common shares of Kestra Medical Technologies, Ltd. held by West Affum Holdings, L.P. among the holders of common units in West Affum Holdings, L.P. in the Post-IPO Distribution will be determined in reference to the liquidation value of West Affum Holdings, L.P. at the time of such Post-IPO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Organizational Transactions, at the West Affum Intermediate Holdings level, pre-existing preferred interests as well as noncontrolling interests of its subsidiaries, will be converted into common shares, which will all be wholly owned by Kestra Medical Technologies, Ltd.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100 shares of Kestra Medical Technologies, Ltd. common stock outstanding as of October 31, 2024, owned by West Affum Holdings, L.P., will continue to be owned by West Affum Holdings, L.P. following the consummation of the Organizational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Organizational Transactions impact the equity and do not impact the total assets or total liabilities of Kestra Medical Technologies, Ltd. </w:t>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Warrant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warrants issued by West Affum Holdings, L.P. to Kennedy Lewis Capital Partners Master Fund II LP (the Existing KLIM Warrants) will be canceled and Kestra Medical Technologies, Ltd. will issue new warrants to purchase common shares (the KLIM Warrants). We will issue warrants exercisable for 62,325 and 46,744 common shares, with exercise prices of $17.81 and $20.65, respectively. The warrants will expire on December 28, 2030 and March 7, 2032,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in connection with this offering, warrants issued by West Affum Holdings, L.P. to Perceptive Credit Holdings IV, LP (the Existing Perceptive Warrants) will be canceled and Kestra Medical Technologies, Ltd. will issue new warrants to purchase common shares of the Company (the Perceptive Warrants, and together with the KLIM Warrants, the Warrants). We will issue warrants exercisable for 325,847 common shares, with an exercise price of $11.54. The warrants will expire on September 29, 2033.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regarding the beneficial ownership of our common shares before and after this offering, and after giving pro forma effect to the Organizational Transactions, see Principal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shows our simplified organizational structure prior to the consummation of the Organizational Transactions and this offering: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50410" cy="52311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50410" cy="52311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chart shows our simplified organizational structure immediately following the consummation of the Organizational Transactions and this offering, after giving effect to the sale of 11,882,352 common shares in this offering, at the initial public offering price of $17.00 per share and assuming no exercise of the underwriters over-allotment option.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Organizational Transactions and this offering, Kestra Medical Technologies, Ltd. will be our top holding company and its consolidated financial statements will be included in our reports filed with the SEC, and West Affum Intermediate Holdings will be the predecessor for financial reporting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Kestra Medical Technologies, Ltd. has not engaged in any business or other activities other than those incidental to its formation, the Organizational Transactions and the preparation of this prospectus and the registration statement of which this prospectus forms a part. Following the consummation of the Organizational Transactions and this offering, Kestra Medical Technologies, Ltd. will remain a holding company, and it will operate and control all of the business and affairs and consolidate the financial results of its subsidiaries.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421505" cy="67576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421505" cy="67576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74441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our issuance and sale of common shares in this offering will be approximately $181.4 million, or approximately $209.5 million if the underwriters exercise in full their over-allotment option, after deducting underwriting discounts and commissions and estimated offering expenses incurred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together with our existing cash,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$80.0 million to scale up our commercial organization through the hiring of additional sales representatives, sales team leadership and clinical care specialists, as well as through investments in our fleet of devices, supply chain and revenue cycle management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$15.0 million to fund the research and development of continued innovation in our products and to fund trials to build upon our strong base of clinical evidence;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for working capital and general corporate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proceeds from our issuance and sale of common shares in this offering include deductions of approximately $6.2 million to fund estimated offering and reorganization costs incurred by us as part of this offering, of which approximately $3.6 million and $2.6 million will be capitalized and expensed, respectively, in connection with this offering and the reorganization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our success in scaling up our commercial operations, the continued innovation in our products and achieving a strong base of clinical evidence. We may find it necessary or advisable to use the net proceeds for other purposes, and we will have broad discretion in the application of the net proceeds. </w:t>
      </w:r>
    </w:p>
    <w:p>
      <w:pPr>
        <w:pStyle w:val="TextBody"/>
        <w:bidi w:val="0"/>
        <w:spacing w:before="240" w:after="0"/>
        <w:jc w:val="left"/>
        <w:rPr>
          <w:rFonts w:ascii="Times New Roman" w:hAnsi="Times New Roman"/>
          <w:sz w:val="20"/>
        </w:rPr>
      </w:pPr>
      <w:r>
        <w:rPr>
          <w:rFonts w:ascii="Times New Roman" w:hAnsi="Times New Roman"/>
          <w:sz w:val="20"/>
        </w:rPr>
        <w:t xml:space="preserve">We plan to invest the net proceeds from this offering that are not used as described above (or that are pending their use) in short-term,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744414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historically declared or paid any dividends on our common shares.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Our Term Loan limits our ability to, among other things, pay dividends or make other distributions or payments on account of our common shares, in each case, subject to certain exceptions. In addition, pursuant to Bermuda law, a company may not declare or pay dividends, or make distributions out of contributed surplus, if there are reasonable grounds for believing that (1) the company is, or would after the payment be, unable to pay its liabilities as they become due or (2) the realizable value of its assets would thereby be less than its liabilities. Contributed surplus is defined for purposes of Section 54 of the Companies Act to include the proceeds arising from donated shares, credits resulting from the redemption or conversion of shares at less than the amount set up as nominal capital and donations of cash and other assets to the company. Additionally, as a holding company with no material direct operations, our ability to pay dividends on our common shares is dependent on the earnings and distributions of funds from our operating subsidiaries. We are not obligated to pay dividends on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on the restrictions on our ability to pay dividends, see Description of Certain Indebtedness and Risk FactorsRisks Related to This OfferingWe have historically not paid cash dividends and do not expect to pay cash dividends in the foreseeable future, and, as a result, any return on investment may be limited to the value of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744414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cash and cash equivalents and capitalization as of October 31, 2024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West Affum Intermediate Holdings and its consolidated subsidiaries 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Kestra Medical Technologies, Ltd. and its consolidated subsidiaries on a pro forma basis to give effect to (1) the Organizational Transactions described in the section titled Organizational Transactions included elsewhere in this prospectus and (2) the effectiveness of our amended and restated bye-laws upon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Kestra Medical Technologies, Ltd. and its consolidated subsidiaries on a pro forma as adjusted basis to give effect to the issuance and sale of common shares in this offering at the initial public offering price of $17.00 per common share, after deducting underwriting discounts, commissions and estimated offering and reorganization costs incurred by us, and the receipt of the net proceeds therefrom.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and pro forma as adjusted information set forth in the table below is illustrative only. You should read this table together with the sections titled Use of Proceeds, Managements Discussion and Analysis of Financial Condition and Results of Operations and our consolidated financial statements, condensed consolidated financial statements and the related notes included elsewhere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0"/>
        <w:gridCol w:w="210"/>
        <w:gridCol w:w="140"/>
        <w:gridCol w:w="879"/>
        <w:gridCol w:w="155"/>
        <w:gridCol w:w="156"/>
        <w:gridCol w:w="140"/>
        <w:gridCol w:w="879"/>
        <w:gridCol w:w="155"/>
        <w:gridCol w:w="156"/>
        <w:gridCol w:w="145"/>
        <w:gridCol w:w="911"/>
        <w:gridCol w:w="159"/>
      </w:tblGrid>
      <w:tr>
        <w:trPr/>
        <w:tc>
          <w:tcPr>
            <w:tcW w:w="612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716" w:type="dxa"/>
            <w:gridSpan w:val="10"/>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As of October 31, 2024</w:t>
            </w:r>
          </w:p>
        </w:tc>
        <w:tc>
          <w:tcPr>
            <w:tcW w:w="159"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West Affum</w:t>
              <w:br/>
              <w:t>Intermediate</w:t>
              <w:br/>
              <w:t>Holdings</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Kestra</w:t>
              <w:br/>
              <w:t>Medical</w:t>
              <w:br/>
              <w:t>Technologies,</w:t>
              <w:br/>
              <w:t>Ltd.</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Kestra</w:t>
              <w:br/>
              <w:t>Medical</w:t>
              <w:br/>
              <w:t>Technologies,</w:t>
              <w:br/>
              <w:t>Ltd.</w:t>
            </w:r>
          </w:p>
        </w:tc>
        <w:tc>
          <w:tcPr>
            <w:tcW w:w="159"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b/>
              </w:rPr>
            </w:pPr>
            <w:r>
              <w:rPr>
                <w:b/>
              </w:rPr>
              <w:t>(in thousands, except share and per share amounts)</w:t>
            </w:r>
          </w:p>
        </w:tc>
        <w:tc>
          <w:tcPr>
            <w:tcW w:w="210"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Actual</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Pro Forma</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Pro Forma As</w:t>
              <w:br/>
              <w:t>Adjusted</w:t>
            </w:r>
          </w:p>
        </w:tc>
        <w:tc>
          <w:tcPr>
            <w:tcW w:w="159"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76,918</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76,918</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258,307</w:t>
            </w:r>
          </w:p>
        </w:tc>
        <w:tc>
          <w:tcPr>
            <w:tcW w:w="159"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43,343</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43,343</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43,343</w:t>
            </w:r>
          </w:p>
        </w:tc>
        <w:tc>
          <w:tcPr>
            <w:tcW w:w="159"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preferred stock, $0.01 par value; 5,000,000 shares authorized, 280,510 shares Issued and outstanding, actual</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280,510</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 (deficit):</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5,000,000 shares authorized; 105,808 shares issued and outstanding, actual</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$1.00 par value; 100,000,000 shares authorized; 37,651,467 shares issued and outstanding, pro forma; 49,533,819 shares issued and outstanding, pro forma as adjusted</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37,651</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49,534</w:t>
            </w:r>
          </w:p>
        </w:tc>
        <w:tc>
          <w:tcPr>
            <w:tcW w:w="159"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193,733</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455,833</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627,980</w:t>
            </w:r>
          </w:p>
        </w:tc>
        <w:tc>
          <w:tcPr>
            <w:tcW w:w="159"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(446,687</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(449,520</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(452,160</w:t>
            </w:r>
          </w:p>
        </w:tc>
        <w:tc>
          <w:tcPr>
            <w:tcW w:w="159"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16,408</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 (deficit)</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(236,545</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43,964</w:t>
            </w:r>
          </w:p>
        </w:tc>
        <w:tc>
          <w:tcPr>
            <w:tcW w:w="15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225,354</w:t>
            </w:r>
          </w:p>
        </w:tc>
        <w:tc>
          <w:tcPr>
            <w:tcW w:w="159"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87,308</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87,307</w:t>
            </w:r>
          </w:p>
        </w:tc>
        <w:tc>
          <w:tcPr>
            <w:tcW w:w="15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268,697</w:t>
            </w:r>
          </w:p>
        </w:tc>
        <w:tc>
          <w:tcPr>
            <w:tcW w:w="159"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U.S. GAAP, the Organizational Transactions will be treated as a common control transaction with West Affum Intermediate Holdings as the transferring entity and Kestra Medical Technologies, Ltd. as the receiving entity as set forth below, assuming the Organizational Transactions closed on October 31, 2024 for the purpose of the pro forma and pro forma, as adjusted columns in the table above. With respect to the pro forma adjusted amounts presented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assets and liabilities of West Affum Intermediate Holdings will become the assets and liabilities of Kestra Medical Technologies, Ltd. on a historical book value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adjustments to additional paid-in capital are comprised of the (i) elimination of the historical carrying values of West Affum Intermediate Holdings redeemable preferred stock and common stock, (ii) the elimination of the historical carrying values of West Affum Intermediate Holdings noncontrolling interests, (iii) $2.8 million of share-based payment costs as a result of accelerated vesting of incentive units contemporaneously with the consummation of the Organizational Transactions (Equity Award Acceleration), partially offset by (iv) the issuance of $37.7 million par value of Kestra Medical Technologies, Ltd. common stock as described in the section entitled Organizational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of West Affum Holdings, L.P. are assumed to be carried by Kestra Medical Technologies, Ltd. at West Affum Intermediate Holdings historical carrying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adjustment to accumulated deficit represents $2.8 million of share-based payment costs related to the Equity Award Acceleration.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common shares to be outstanding after this offering is based on 37,651,467 common shares issued as of October 31, 2024, after giving pro forma effect to the Organizational Transactions, and excludes 4,644,400 common shares underlying stock options granted to our NEOs and certain other employees immediately following the pricing of this offering, with an exercise price equal to the initial public offering price; 12,890,000 common shares that will be reserved for issuance under our new equity incentive plan; and 434,916 common shares underlying the Warrants. The number of authorized common shares presented above reflects the increase in our authorized share capital approved by our Board and sole shareholder of the Company in connection with this offering. See Description of Share Capital.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information presented above assumes or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issued in connection with the Organizational Transactions that are subject to certain vesting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amended and restated bye-laws upon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underwriters of their over-allotment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744414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shares in this offering, your investment will be immediately diluted to the extent of the difference between the initial public offering price per common share and the pro forma as adjusted net tangible book value (deficit) per common share after this offering. Dilution results from the fact that the per share offering price of the common shares is substantially in excess of the pro forma as adjusted net tangible book value (deficit) per share attributable to our existing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value (deficit) as of October 31, 2024 was approximately $(240.5) million, or $(2,273.11) per common share. Historical net tangible book value (deficit) represents the amount of total tangible assets less total liabilities and redeemable preferred stock. Total tangible assets represent total assets less prepaid expenses, unamortized debt issuance costs, deferred offering cost, and other intangible assets. Historical net tangible book value (deficit) per common share represents historical net tangible book value (deficit) divided by the number of common shares issued as of October 31, 2024. </w:t>
      </w:r>
    </w:p>
    <w:p>
      <w:pPr>
        <w:pStyle w:val="TextBody"/>
        <w:bidi w:val="0"/>
        <w:spacing w:before="240" w:after="0"/>
        <w:jc w:val="left"/>
        <w:rPr>
          <w:rFonts w:ascii="Times New Roman" w:hAnsi="Times New Roman"/>
          <w:sz w:val="20"/>
        </w:rPr>
      </w:pPr>
      <w:r>
        <w:rPr>
          <w:rFonts w:ascii="Times New Roman" w:hAnsi="Times New Roman"/>
          <w:sz w:val="20"/>
        </w:rPr>
        <w:t xml:space="preserve">Our pro forma net tangible book value (deficit) as of October 31, 2024 was approximately $40.0 million, or $1.06 per common share. Pro forma net tangible book value (deficit) represents the amount of total tangible assets less total liabilities, and pro forma net tangible book value (deficit) per common share represents net tangible book value (deficit) divided by 37,651,467 common shares issued as of October 31, 2024 after giving effect to the Organizational Transactions described in the section titled Organizational Transactions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After giving pro forma effect to (1) the issuance and sale of 11,882,352 common shares by us in this offering at the initial public offering price of $17.00 per share, after deducting underwriting discounts and commissions and estimated offering and reorganization costs incurred by us, and (2) the receipt of the net proceeds from this offering, our pro forma as adjusted net tangible book value (deficit) as of October 31, 2024 would have been $221.4 million, or $4.47 per common share. This represents an immediate increase in pro forma as adjusted net tangible book value (or a decrease in net tangible book deficit) of $3.41 per common share to our existing shareholders and an immediate dilution in pro forma as adjusted net tangible book value (deficit) of $12.53 per common share to investors in this offering. Dilution in pro forma as adjusted net tangible book value (deficit) per common share to investors in this offering represents the difference between the initial public offering price of $17.00 per share, and the pro forma as adjusted net tangible book value per common share after giving effect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common share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0"/>
        <w:gridCol w:w="246"/>
        <w:gridCol w:w="140"/>
        <w:gridCol w:w="567"/>
        <w:gridCol w:w="62"/>
      </w:tblGrid>
      <w:tr>
        <w:trPr/>
        <w:tc>
          <w:tcPr>
            <w:tcW w:w="919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 per common share</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17.00</w:t>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9190"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(deficit) per common share as of October 31, 2024 after giving effect to the Organizational Transactions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(deficit) per common share attributable to investors participating in this offering</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3.41</w:t>
            </w:r>
          </w:p>
        </w:tc>
        <w:tc>
          <w:tcPr>
            <w:tcW w:w="62" w:type="dxa"/>
            <w:tcBorders/>
            <w:shd w:fill="CCEEFF" w:val="clear"/>
            <w:vAlign w:val="bottom"/>
          </w:tcPr>
          <w:p>
            <w:pPr>
              <w:pStyle w:val="TableContents"/>
              <w:bidi w:val="0"/>
              <w:spacing w:before="0" w:after="283"/>
              <w:jc w:val="left"/>
              <w:rPr/>
            </w:pPr>
            <w:r>
              <w:rPr/>
              <w:t> </w:t>
            </w:r>
          </w:p>
        </w:tc>
      </w:tr>
      <w:tr>
        <w:trPr/>
        <w:tc>
          <w:tcPr>
            <w:tcW w:w="91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9190"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(deficit) per common share after giving effect to the offering</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4.47</w:t>
            </w:r>
          </w:p>
        </w:tc>
        <w:tc>
          <w:tcPr>
            <w:tcW w:w="62" w:type="dxa"/>
            <w:tcBorders/>
            <w:vAlign w:val="bottom"/>
          </w:tcPr>
          <w:p>
            <w:pPr>
              <w:pStyle w:val="TableContents"/>
              <w:bidi w:val="0"/>
              <w:spacing w:before="0" w:after="283"/>
              <w:jc w:val="left"/>
              <w:rPr/>
            </w:pPr>
            <w:r>
              <w:rPr/>
              <w:t> </w:t>
            </w:r>
          </w:p>
        </w:tc>
      </w:tr>
      <w:tr>
        <w:trPr/>
        <w:tc>
          <w:tcPr>
            <w:tcW w:w="9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pro forma as adjusted net tangible book value (deficit) per common share to investors in this offering</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12.53</w:t>
            </w:r>
          </w:p>
        </w:tc>
        <w:tc>
          <w:tcPr>
            <w:tcW w:w="62" w:type="dxa"/>
            <w:tcBorders/>
            <w:shd w:fill="CCEEFF" w:val="clear"/>
            <w:vAlign w:val="bottom"/>
          </w:tcPr>
          <w:p>
            <w:pPr>
              <w:pStyle w:val="TableContents"/>
              <w:bidi w:val="0"/>
              <w:spacing w:before="0" w:after="283"/>
              <w:jc w:val="left"/>
              <w:rPr/>
            </w:pPr>
            <w:r>
              <w:rPr/>
              <w:t> </w:t>
            </w:r>
          </w:p>
        </w:tc>
      </w:tr>
      <w:tr>
        <w:trPr/>
        <w:tc>
          <w:tcPr>
            <w:tcW w:w="9190"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over-allotment option in full, our pro forma as adjusted net tangible book value (deficit) per share after giving pro forma effect to this offering would be $4.86 per common share. This represents an increase in pro forma as adjusted net tangible book value (deficit) of $3.80 per common share to existing shareholders and dilution in pro forma as adjusted net tangible book value (deficit) of $12.14 per common share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on the same pro forma as adjusted basis described above, as of October 31, 2024, the total number of common shares purchased from us, the total cash consideration paid to us and the average price per common share paid by our existing shareholders and by new investors purchasing common shares in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3"/>
        <w:gridCol w:w="242"/>
        <w:gridCol w:w="60"/>
        <w:gridCol w:w="1193"/>
        <w:gridCol w:w="60"/>
        <w:gridCol w:w="142"/>
        <w:gridCol w:w="60"/>
        <w:gridCol w:w="579"/>
        <w:gridCol w:w="311"/>
        <w:gridCol w:w="196"/>
        <w:gridCol w:w="140"/>
        <w:gridCol w:w="1335"/>
        <w:gridCol w:w="60"/>
        <w:gridCol w:w="142"/>
        <w:gridCol w:w="60"/>
        <w:gridCol w:w="579"/>
        <w:gridCol w:w="311"/>
        <w:gridCol w:w="196"/>
        <w:gridCol w:w="211"/>
        <w:gridCol w:w="896"/>
        <w:gridCol w:w="69"/>
      </w:tblGrid>
      <w:tr>
        <w:trPr/>
        <w:tc>
          <w:tcPr>
            <w:tcW w:w="3363"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363"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94"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Shares Purchased</w:t>
            </w:r>
          </w:p>
        </w:tc>
        <w:tc>
          <w:tcPr>
            <w:tcW w:w="31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316"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Total Consideration</w:t>
            </w:r>
          </w:p>
        </w:tc>
        <w:tc>
          <w:tcPr>
            <w:tcW w:w="311" w:type="dxa"/>
            <w:tcBorders/>
            <w:vAlign w:val="bottom"/>
          </w:tcPr>
          <w:p>
            <w:pPr>
              <w:pStyle w:val="TableContents"/>
              <w:bidi w:val="0"/>
              <w:spacing w:before="0" w:after="283"/>
              <w:jc w:val="left"/>
              <w:rPr/>
            </w:pPr>
            <w:r>
              <w:rPr/>
              <w:t> </w:t>
            </w:r>
          </w:p>
        </w:tc>
        <w:tc>
          <w:tcPr>
            <w:tcW w:w="196" w:type="dxa"/>
            <w:vMerge w:val="restart"/>
            <w:tcBorders/>
            <w:vAlign w:val="bottom"/>
          </w:tcPr>
          <w:p>
            <w:pPr>
              <w:pStyle w:val="TableContents"/>
              <w:bidi w:val="0"/>
              <w:spacing w:before="0" w:after="283"/>
              <w:jc w:val="left"/>
              <w:rPr/>
            </w:pPr>
            <w:r>
              <w:rPr/>
              <w:t> </w:t>
            </w:r>
          </w:p>
        </w:tc>
        <w:tc>
          <w:tcPr>
            <w:tcW w:w="1107"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Average Price</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Per Share</w:t>
            </w:r>
          </w:p>
        </w:tc>
        <w:tc>
          <w:tcPr>
            <w:tcW w:w="69" w:type="dxa"/>
            <w:vMerge w:val="restart"/>
            <w:tcBorders/>
            <w:vAlign w:val="bottom"/>
          </w:tcPr>
          <w:p>
            <w:pPr>
              <w:pStyle w:val="TableContents"/>
              <w:bidi w:val="0"/>
              <w:spacing w:before="0" w:after="283"/>
              <w:jc w:val="left"/>
              <w:rPr/>
            </w:pPr>
            <w:r>
              <w:rPr/>
              <w:t> </w:t>
            </w:r>
          </w:p>
        </w:tc>
      </w:tr>
      <w:tr>
        <w:trPr/>
        <w:tc>
          <w:tcPr>
            <w:tcW w:w="3363"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5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Percent</w:t>
            </w:r>
          </w:p>
        </w:tc>
        <w:tc>
          <w:tcPr>
            <w:tcW w:w="31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Amount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Percent</w:t>
            </w:r>
          </w:p>
        </w:tc>
        <w:tc>
          <w:tcPr>
            <w:tcW w:w="311" w:type="dxa"/>
            <w:tcBorders/>
            <w:vAlign w:val="bottom"/>
          </w:tcPr>
          <w:p>
            <w:pPr>
              <w:pStyle w:val="TableContents"/>
              <w:bidi w:val="0"/>
              <w:spacing w:before="0" w:after="283"/>
              <w:jc w:val="left"/>
              <w:rPr/>
            </w:pPr>
            <w:r>
              <w:rPr/>
              <w:t> </w:t>
            </w:r>
          </w:p>
        </w:tc>
        <w:tc>
          <w:tcPr>
            <w:tcW w:w="196" w:type="dxa"/>
            <w:vMerge w:val="continue"/>
            <w:tcBorders/>
            <w:vAlign w:val="bottom"/>
          </w:tcPr>
          <w:p>
            <w:pPr>
              <w:pStyle w:val="Normal"/>
              <w:bidi w:val="0"/>
              <w:jc w:val="left"/>
              <w:rPr/>
            </w:pPr>
            <w:r>
              <w:rPr/>
            </w:r>
          </w:p>
        </w:tc>
        <w:tc>
          <w:tcPr>
            <w:tcW w:w="1107" w:type="dxa"/>
            <w:gridSpan w:val="2"/>
            <w:vMerge w:val="continue"/>
            <w:tcBorders/>
            <w:vAlign w:val="bottom"/>
          </w:tcPr>
          <w:p>
            <w:pPr>
              <w:pStyle w:val="Normal"/>
              <w:bidi w:val="0"/>
              <w:jc w:val="left"/>
              <w:rPr/>
            </w:pPr>
            <w:r>
              <w:rPr/>
            </w:r>
          </w:p>
        </w:tc>
        <w:tc>
          <w:tcPr>
            <w:tcW w:w="69" w:type="dxa"/>
            <w:vMerge w:val="continue"/>
            <w:tcBorders/>
            <w:vAlign w:val="bottom"/>
          </w:tcPr>
          <w:p>
            <w:pPr>
              <w:pStyle w:val="Normal"/>
              <w:bidi w:val="0"/>
              <w:jc w:val="left"/>
              <w:rPr/>
            </w:pPr>
            <w:r>
              <w:rPr/>
            </w:r>
          </w:p>
        </w:tc>
      </w:tr>
      <w:tr>
        <w:trPr/>
        <w:tc>
          <w:tcPr>
            <w:tcW w:w="3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shareholders</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37,651,467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76.0</w:t>
            </w:r>
          </w:p>
        </w:tc>
        <w:tc>
          <w:tcPr>
            <w:tcW w:w="31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497,757,128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71.1</w:t>
            </w:r>
          </w:p>
        </w:tc>
        <w:tc>
          <w:tcPr>
            <w:tcW w:w="31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13.22</w:t>
            </w:r>
          </w:p>
        </w:tc>
        <w:tc>
          <w:tcPr>
            <w:tcW w:w="69" w:type="dxa"/>
            <w:tcBorders/>
            <w:shd w:fill="CCEEFF" w:val="clear"/>
            <w:vAlign w:val="bottom"/>
          </w:tcPr>
          <w:p>
            <w:pPr>
              <w:pStyle w:val="TableContents"/>
              <w:bidi w:val="0"/>
              <w:spacing w:before="0" w:after="283"/>
              <w:jc w:val="left"/>
              <w:rPr/>
            </w:pPr>
            <w:r>
              <w:rPr/>
              <w:t> </w:t>
            </w:r>
          </w:p>
        </w:tc>
      </w:tr>
      <w:tr>
        <w:trPr/>
        <w:tc>
          <w:tcPr>
            <w:tcW w:w="3363" w:type="dxa"/>
            <w:tcBorders/>
          </w:tcPr>
          <w:p>
            <w:pPr>
              <w:pStyle w:val="TableContents"/>
              <w:bidi w:val="0"/>
              <w:spacing w:before="0" w:after="0"/>
              <w:jc w:val="left"/>
              <w:rPr>
                <w:rFonts w:ascii="Times New Roman" w:hAnsi="Times New Roman"/>
                <w:sz w:val="20"/>
              </w:rPr>
            </w:pPr>
            <w:r>
              <w:rPr>
                <w:rFonts w:ascii="Times New Roman" w:hAnsi="Times New Roman"/>
                <w:sz w:val="20"/>
              </w:rPr>
              <w:t>Investors in this offering</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11,882,352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24.0</w:t>
            </w:r>
          </w:p>
        </w:tc>
        <w:tc>
          <w:tcPr>
            <w:tcW w:w="31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5" w:type="dxa"/>
            <w:tcBorders/>
            <w:vAlign w:val="bottom"/>
          </w:tcPr>
          <w:p>
            <w:pPr>
              <w:pStyle w:val="TableContents"/>
              <w:bidi w:val="0"/>
              <w:spacing w:before="0" w:after="283"/>
              <w:jc w:val="right"/>
              <w:rPr/>
            </w:pPr>
            <w:r>
              <w:rPr/>
              <w:t>201,999,984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28.9</w:t>
            </w:r>
          </w:p>
        </w:tc>
        <w:tc>
          <w:tcPr>
            <w:tcW w:w="31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17.00</w:t>
            </w:r>
          </w:p>
        </w:tc>
        <w:tc>
          <w:tcPr>
            <w:tcW w:w="69" w:type="dxa"/>
            <w:tcBorders/>
            <w:vAlign w:val="bottom"/>
          </w:tcPr>
          <w:p>
            <w:pPr>
              <w:pStyle w:val="TableContents"/>
              <w:bidi w:val="0"/>
              <w:spacing w:before="0" w:after="283"/>
              <w:jc w:val="left"/>
              <w:rPr/>
            </w:pPr>
            <w:r>
              <w:rPr/>
              <w:t> </w:t>
            </w:r>
          </w:p>
        </w:tc>
      </w:tr>
      <w:tr>
        <w:trPr/>
        <w:tc>
          <w:tcPr>
            <w:tcW w:w="3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49,533,819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100.0</w:t>
            </w:r>
          </w:p>
        </w:tc>
        <w:tc>
          <w:tcPr>
            <w:tcW w:w="31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699,757,112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100.0</w:t>
            </w:r>
          </w:p>
        </w:tc>
        <w:tc>
          <w:tcPr>
            <w:tcW w:w="31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14.13</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common shares to be outstanding after this offering is based on 37,651,467 common shares issued as of October 31, 2024, after giving pro forma effect to the Organizational Transactions, and excludes 4,644,400 common shares underlying stock options granted to our NEOs and certain other employees immediately following the pricing of this offering, with an exercise price equal to the initial public offering price; 12,890,000 common shares reserved for issuance under our new equity incentive plan; and 434,916 common shares underlying the Warrants. </w:t>
      </w:r>
    </w:p>
    <w:p>
      <w:pPr>
        <w:pStyle w:val="TextBody"/>
        <w:bidi w:val="0"/>
        <w:spacing w:before="240" w:after="0"/>
        <w:jc w:val="left"/>
        <w:rPr>
          <w:rFonts w:ascii="Times New Roman" w:hAnsi="Times New Roman"/>
          <w:sz w:val="20"/>
        </w:rPr>
      </w:pPr>
      <w:r>
        <w:rPr>
          <w:rFonts w:ascii="Times New Roman" w:hAnsi="Times New Roman"/>
          <w:sz w:val="20"/>
        </w:rPr>
        <w:t xml:space="preserve">Any exercise of options or similar rights or of the Warrants could result in further dilution to our shareholders.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744414_9"/>
      <w:bookmarkEnd w:id="11"/>
      <w:r>
        <w:rPr>
          <w:rFonts w:ascii="Times New Roman" w:hAnsi="Times New Roman"/>
          <w:b/>
          <w:sz w:val="20"/>
        </w:rPr>
        <w:t xml:space="preserve">MANAGEMENTS DISCUSSION AND ANALYSIS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Managements Discussion and Analysis of Financial Condition and Results of Operations should be read in conjunction with the sections of this prospectus captioned Prospectus SummarySummary Consolidated Financial Data, Business and our consolidated financial statements, condensed consolidated financial statements and the related notes thereto included elsewhere in this prospectus. In addition to the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prospectus captioned Special Note Regarding Forward-Looking Statements and Risk Factors.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240" w:after="0"/>
        <w:jc w:val="left"/>
        <w:rPr>
          <w:rFonts w:ascii="Times New Roman" w:hAnsi="Times New Roman"/>
          <w:sz w:val="20"/>
        </w:rPr>
      </w:pPr>
      <w:r>
        <w:rPr>
          <w:rFonts w:ascii="Times New Roman" w:hAnsi="Times New Roman"/>
          <w:sz w:val="20"/>
        </w:rPr>
        <w:t xml:space="preserve">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WCD used to protect patients at an elevated risk of SCA. The ASSURE WCD automatically monitors elevated risk patients and, if needed, delivers a defibrillation shock to return the patients heart to normal rhythm. We believe the ASSURE WCD offers significant clinical and functional advantages, including greater patient compliance as a result of a major reduction in false alarms, enhanced comfort and improved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has the potential to disrupt the large existing market and grow the underpenetrated addressable market. </w:t>
      </w:r>
    </w:p>
    <w:p>
      <w:pPr>
        <w:pStyle w:val="TextBody"/>
        <w:bidi w:val="0"/>
        <w:spacing w:before="240" w:after="0"/>
        <w:jc w:val="left"/>
        <w:rPr>
          <w:rFonts w:ascii="Times New Roman" w:hAnsi="Times New Roman"/>
          <w:sz w:val="20"/>
        </w:rPr>
      </w:pPr>
      <w:r>
        <w:rPr>
          <w:rFonts w:ascii="Times New Roman" w:hAnsi="Times New Roman"/>
          <w:sz w:val="20"/>
        </w:rPr>
        <w:t xml:space="preserve">We have been issued a Medicare Provider Number by the CMS, which enables us to bill Medicare for reimbursement for our ASSURE WCD as an accredited supplier to the extent the claim meets Medicare medical necessity and coverage requirements. We derive nearly all our revenue from the direct billing of various third-party payors, including Medicare, Medicaid, private payors and other healthcare-related organizations, for the lease of our ASSURE WCD to patients. We also bill patients for co-insurance payments and deductibles. As WCD therapy has existed for over 20 years in the United States, reimbursement codes are well-established, and WCDs are covered by Medicare, Medicaid and many private payors. </w:t>
      </w:r>
    </w:p>
    <w:p>
      <w:pPr>
        <w:pStyle w:val="TextBody"/>
        <w:bidi w:val="0"/>
        <w:spacing w:before="240" w:after="0"/>
        <w:jc w:val="left"/>
        <w:rPr>
          <w:rFonts w:ascii="Times New Roman" w:hAnsi="Times New Roman"/>
          <w:sz w:val="20"/>
        </w:rPr>
      </w:pPr>
      <w:r>
        <w:rPr>
          <w:rFonts w:ascii="Times New Roman" w:hAnsi="Times New Roman"/>
          <w:sz w:val="20"/>
        </w:rPr>
        <w:t xml:space="preserve">We outsource the manufacturing of our ASSURE WCD and all of its components to third-party suppliers, including contract manufacturers that manufacture garments, chargers, monitors, batteries, cables and various accessories for our ASSURE WCD. We believe that our contract manufacturing partners are recognized in their field for their competency to manufacture the respective components of our ASSURE WCD and have established quality systems that meet FDA requirements. We believe the manufacturers we currently utilize have sufficient capacity to meet our expansion requirements and can scale up their capacity to meet anticipated demand for our products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devoted substantially all of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fiscal year ends on April 30 of each year. We incurred net losses of $40.9 million and $50.2 million for the six months ended October 31, 2024 and 2023, respectively. We incurred net losses of $94.1 million and $84.2 million for the fiscal years ended April 30, 2024 and 2023, respectively. We generated revenue of $27.5 million and gross margin of $10.0 million for the six months ended October 31, 2024, compared to revenue of $9.5 million and gross margin of $(1.9) million for the six months ended October 31, 2023. For the fiscal year ended April 30, 2024, we generated revenue of $27.8 million, with a gross margin of $0.4 million, compared to revenue of $7.6 million, with a gross margin of $(10.7) million, for the fiscal year ended April 30, 2023. As of October 31, 2024, we had cash and cash equivalents balances of $76.9 million, and an accumulated deficit of $446.7 million.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our operations have primarily been funded by proceeds from our capital contributions made by West Affum Holdings, L.P., our direct parent prior to the Organizational Transactions, in the form of common stock and redeemable preferred stock, and borrowings under our Term Loan (as defined below), as well as borrowings under our Term Loan 2020 (as defined below) prior to its repayment in September of 2023. For more information, see Liquidity and Capital ResourcesSources of Liquidity and Note 10, </w:t>
      </w:r>
      <w:r>
        <w:rPr>
          <w:rFonts w:ascii="Times New Roman" w:hAnsi="Times New Roman"/>
          <w:i/>
          <w:sz w:val="20"/>
        </w:rPr>
        <w:t>Redeemable Preferred Stock,</w:t>
      </w:r>
      <w:r>
        <w:rPr>
          <w:rFonts w:ascii="Times New Roman" w:hAnsi="Times New Roman"/>
          <w:sz w:val="20"/>
        </w:rPr>
        <w:t xml:space="preserve"> to our consolidated financial statements included elsewhere in this prospectus. We have invested heavily in developing and commercializing our Cardiac Recovery System platform. We have also made significant investments in clinical studies to demonstrate the safety and effectiveness of our ASSURE WCD and to support applications for regulatory approvals. We have made and will continue to make significant investments to build our sales and marketing organization, and we intend to continue to increase the size of our commercial team to market our product in the United States. While we believe that our existing cash and cash equivalents (including the net proceeds from this offering) will be sufficient to fund our operating and capital needs for at least the next 12 months, we may require additional funding to execute on our growth plans, which may include future equity and debt financings. Adequate funding may not be available to us on acceptable terms or at all. Our failure to obtain sufficient funds on acceptable terms when needed could have a material and adverse effect on our business, financial condition, results of operations and prospects. </w:t>
      </w:r>
    </w:p>
    <w:p>
      <w:pPr>
        <w:pStyle w:val="TextBody"/>
        <w:bidi w:val="0"/>
        <w:spacing w:before="240" w:after="0"/>
        <w:jc w:val="left"/>
        <w:rPr>
          <w:rFonts w:ascii="Times New Roman" w:hAnsi="Times New Roman"/>
          <w:b/>
          <w:sz w:val="20"/>
        </w:rPr>
      </w:pPr>
      <w:r>
        <w:rPr>
          <w:rFonts w:ascii="Times New Roman" w:hAnsi="Times New Roman"/>
          <w:b/>
          <w:sz w:val="20"/>
        </w:rPr>
        <w:t xml:space="preserve">Key Factors Affecting Our Results of Operations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Factors that have impacted, and that we expect will continue to impact, our operating performance and results of operations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Commercial Organization</w:t>
            </w:r>
            <w:r>
              <w:rPr>
                <w:rFonts w:ascii="Times New Roman" w:hAnsi="Times New Roman"/>
                <w:sz w:val="20"/>
              </w:rPr>
              <w:t xml:space="preserve">. We have made and continue to make significant investments in recruiting, training and retaining our direct sales force and supporting commercial infrastructure. Successfully recruiting and training additional commercial team members is required to achieve growth. As of January 2025, we had approximately 70 territory managers in the United States. We have in the past and expect in the future to enter into compensation arrangements with our commercial team that may include minimum guaranteed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b/>
                <w:i/>
                <w:sz w:val="20"/>
              </w:rPr>
              <w:t>Gross Margin</w:t>
            </w:r>
            <w:r>
              <w:rPr>
                <w:rFonts w:ascii="Times New Roman" w:hAnsi="Times New Roman"/>
                <w:sz w:val="20"/>
              </w:rPr>
              <w:t xml:space="preserve">. Our results of operations will depend, in part, on our ability to increase our gross margins by more effectively managing our costs to build and deliver our ASSURE WCD and obtaining higher reimbursement realization due to improved market access and shifts in patient mix towards patients with longer wear duration. We expect supply chain efficiencies to result from higher volume purchases of components, and continued manufacturing process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b/>
                <w:i/>
                <w:sz w:val="20"/>
              </w:rPr>
              <w:t>Payor Coverage and Revenue Cycle Management</w:t>
            </w:r>
            <w:r>
              <w:rPr>
                <w:rFonts w:ascii="Times New Roman" w:hAnsi="Times New Roman"/>
                <w:sz w:val="20"/>
              </w:rPr>
              <w:t xml:space="preserve">. Healthcare providers in the United States generally rely on third-party payors, principally Medicare, Medicaid and private payors, to cover and reimburse all or part of the cost of our product. The revenue we can generate from the lease of our ASSURE WCD depends in large part on the availability of reimbursement from such payors. A significant component of our operational efforts includes working with private payors to ensure positive coverage decisions for our product and investing in our revenue cycle management infrastructure to collect cash from payors.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Seasonality</w:t>
            </w:r>
            <w:r>
              <w:rPr>
                <w:rFonts w:ascii="Times New Roman" w:hAnsi="Times New Roman"/>
                <w:sz w:val="20"/>
              </w:rPr>
              <w:t xml:space="preserve">. Our billings and collections efforts during January and February tend to be lower because of resetting annual patient healthcare insurance plan deductibles. In addition, as our business grows in the United States and any international markets we may enter into in the future, we may experience seasonality based on holidays, vacations and other factors.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Key Components of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certain key components of our consolidated statement of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240" w:after="0"/>
        <w:jc w:val="left"/>
        <w:rPr>
          <w:rFonts w:ascii="Times New Roman" w:hAnsi="Times New Roman"/>
          <w:sz w:val="20"/>
        </w:rPr>
      </w:pPr>
      <w:r>
        <w:rPr>
          <w:rFonts w:ascii="Times New Roman" w:hAnsi="Times New Roman"/>
          <w:sz w:val="20"/>
        </w:rPr>
        <w:t xml:space="preserve">We received FDA approval for the commercialization of our ASSURE WCD on July 27, 2021 and fully commercially launched our ASSURE WCD in August 2022. We generate revenue by leasing our ASSURE WCD to patients for a fixed amount on a month-to-month basis. The lease payments generally consist of the contracted amounts based on reimbursement arrangements with third-party payors, comprising Medicare, Medicaid, private payors and other healthcare-related organizations, and patient payments. The patient has the right to cancel the lease at any time during the lease period. We recognize lease revenue over the term of the lease when collectability is probable. If collectability of the lease payments is not deemed to be probable, the lease revenue is limited to the lesser of the income that would have been recognized if collectability was probable or the lease payments collected. If the lease payments are not deemed to be probable at inception, lease revenue is recognized when cash payments are received. We expect that our revenue will continue to increase as the number of patients that use our product increases.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Costs of Revenue </w:t>
      </w:r>
    </w:p>
    <w:p>
      <w:pPr>
        <w:pStyle w:val="TextBody"/>
        <w:bidi w:val="0"/>
        <w:spacing w:before="240" w:after="0"/>
        <w:jc w:val="left"/>
        <w:rPr>
          <w:rFonts w:ascii="Times New Roman" w:hAnsi="Times New Roman"/>
          <w:sz w:val="20"/>
        </w:rPr>
      </w:pPr>
      <w:r>
        <w:rPr>
          <w:rFonts w:ascii="Times New Roman" w:hAnsi="Times New Roman"/>
          <w:sz w:val="20"/>
        </w:rPr>
        <w:t>Costs of revenue consist of direct material, labor and indirect costs related to the lease performance of our ASSURE WCD such as the cost of disposable WCD device components, depreciation expense of reusable medical rental equipment components, shipping and order fulfillment costs, as well as other indirect costs incurred to support the manufacture and medical rental equipment delivery to and ongoing support for the patient incurred in connection with providing our ASSURE WCD to patients. Overall expenditures for disposable components and reprocessing costs will increase as the number of patients receiving our ASSURE WCD increases and to a lesser extent, depreciation expense will increase as additional reusable ASSURE WCD components are purchased. However, depreciation expense as a percentage of costs of revenue is expected to decrease in the long run through economies of scale as we continue to grow our business. For additional information on how depreciation impacts our financial results, see Note 2, </w:t>
      </w:r>
      <w:r>
        <w:rPr>
          <w:rFonts w:ascii="Times New Roman" w:hAnsi="Times New Roman"/>
          <w:i/>
          <w:sz w:val="20"/>
        </w:rPr>
        <w:t>Significant Accounting Policies</w:t>
      </w:r>
      <w:r>
        <w:rPr>
          <w:rFonts w:ascii="Times New Roman" w:hAnsi="Times New Roman"/>
          <w:sz w:val="20"/>
        </w:rPr>
        <w:t xml:space="preserve">, to our consolidated financial statements included elsewhere in this prospectus. </w:t>
      </w:r>
    </w:p>
    <w:p>
      <w:pPr>
        <w:pStyle w:val="TextBody"/>
        <w:bidi w:val="0"/>
        <w:spacing w:before="240" w:after="0"/>
        <w:jc w:val="left"/>
        <w:rPr>
          <w:rFonts w:ascii="Times New Roman" w:hAnsi="Times New Roman"/>
          <w:b/>
          <w:i/>
          <w:sz w:val="20"/>
        </w:rPr>
      </w:pPr>
      <w:r>
        <w:rPr>
          <w:rFonts w:ascii="Times New Roman" w:hAnsi="Times New Roman"/>
          <w:b/>
          <w:i/>
          <w:sz w:val="20"/>
        </w:rPr>
        <w:t xml:space="preserve">Gross Margin </w:t>
      </w:r>
    </w:p>
    <w:p>
      <w:pPr>
        <w:pStyle w:val="TextBody"/>
        <w:bidi w:val="0"/>
        <w:spacing w:before="240" w:after="0"/>
        <w:jc w:val="left"/>
        <w:rPr>
          <w:rFonts w:ascii="Times New Roman" w:hAnsi="Times New Roman"/>
          <w:sz w:val="20"/>
        </w:rPr>
      </w:pPr>
      <w:r>
        <w:rPr>
          <w:rFonts w:ascii="Times New Roman" w:hAnsi="Times New Roman"/>
          <w:sz w:val="20"/>
        </w:rPr>
        <w:t xml:space="preserve">We calculate gross margin as revenue less costs of revenue. We expect our gross margin to increase as reimbursement realization increases due to improved market access and shifts in patient mix towards patients with longer wear duration, as well as supply chain efficiencies from higher volume purchases of components and manufacturing process improvements. In addition, as the number of patients we serve continues to increase, we expect the cost of fitting per patient to continue to decrease. However, gross margin may be negatively impacted by a number of factors, including increases in prices of materials and electronics components, labor rates, shipping rates, and inflation.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consist of personnel expenses, including salaries, benefits and stock-based compensation expense for product development personnel, prototype materials and other expenses related to the development of new products. We expense research and development costs as they are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advanced payments that we make for goods or services to be received in the future for use in research and development activities are recorded as prepaid expenses and expensed as the related goods are delivered or the services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We expect our research and development costs to decrease as a percentage of revenue for the foreseeable future as our revenue increases. We will continue to invest in research and development activities related to developing new products and services, further enhancing our products and services through introducing new extensions and enhancements, conducting clinical trials as necessary and preparing any new products and services for commercialization.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Selling expenses consist primarily of personnel expenses, including salaries, commissions, bonuses, benefits, travel, and stock-based compensation expense for sales, marketing and field clinical personnel, as well as investments in marketing initiatives to increase market awareness of our technology, including expenses related to travel, conferences, trade shows and consulting services.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consist primarily of personnel expenses, including salaries, benefits and stock-based compensation expense for personnel in executive, finance, accounting, commercial operations, distribution costs, revenue cycle management, legal, human resources, IT and administrative functions. General and administrative expenses also include direct or allocated expenses for rent and maintenance of facilities and insurance, not otherwise included in research and development expenses, selling expenses, or costs of revenue, as well as professional fees for legal, patent and consulting services. We expect expenses related to revenue cycle management to increase at higher rates than other types of general and administrative expenses as this function will continue to grow as the volume increases.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overall selling,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These expenses may further increase when we no longer qualify as an emerging growth company under the JOBS Act, which will require us to comply with certain reporting requirements from which we are currently exempt. However, we expect overall general and administrative expenses to decrease as a percentage of revenue primarily as, and to the extent, our revenue grows.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Interest and Other Expense (Income) </w:t>
      </w:r>
    </w:p>
    <w:p>
      <w:pPr>
        <w:pStyle w:val="TextBody"/>
        <w:bidi w:val="0"/>
        <w:spacing w:before="240" w:after="0"/>
        <w:jc w:val="left"/>
        <w:rPr>
          <w:rFonts w:ascii="Times New Roman" w:hAnsi="Times New Roman"/>
          <w:sz w:val="20"/>
        </w:rPr>
      </w:pPr>
      <w:r>
        <w:rPr>
          <w:rFonts w:ascii="Times New Roman" w:hAnsi="Times New Roman"/>
          <w:sz w:val="20"/>
        </w:rPr>
        <w:t xml:space="preserve">Interest and other expense (income) consists of cash and non-cash components. The cash component of interest expense is attributable to borrowings under our Term Loan and a portion of loss on extinguishment of debt. The non-cash component consists of interest expense recognized from the amortization of debt discounts and debt issuance costs. Loss on extinguishment of debt is part of other expense (income).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recorded a limited amount of United States federal and state income state expense. As of April 30, 2024, significant deferred tax assets include net operating loss carryforwards of $34.6 million, intangible assets of $35.4 million, interest carryforwards of $5.8 million and United States research and development credits of $5.1 million. 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periods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those temporary differences become deductible. We consider the scheduled reversal of deferred tax liabilities, projected future taxable income, carryback opportunities and tax planning strategies in making the assessment. We believe it is more likely than not that we will not realize the benefits of these deductible differences and have applied a full valuation allowance against them. </w:t>
      </w:r>
    </w:p>
    <w:p>
      <w:pPr>
        <w:pStyle w:val="TextBody"/>
        <w:bidi w:val="0"/>
        <w:spacing w:before="240" w:after="0"/>
        <w:jc w:val="left"/>
        <w:rPr>
          <w:rFonts w:ascii="Times New Roman" w:hAnsi="Times New Roman"/>
          <w:b/>
          <w:sz w:val="20"/>
        </w:rPr>
      </w:pPr>
      <w:r>
        <w:rPr>
          <w:rFonts w:ascii="Times New Roman" w:hAnsi="Times New Roman"/>
          <w:b/>
          <w:sz w:val="20"/>
        </w:rPr>
        <w:t xml:space="preserve">Results of Operations for the Six Months Ended October 31, 2024 and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results of operations for the six months ended October 31, 2024 and 2023. We have derived the data for the six months ended October 31, 2024 and 2023 from our condensed consolidated financial statements included elsewhere in this prospectus. This information should be read in conjunction with our condensed consolidated financial statements and related notes included elsewhere in this prospectus. The results for historical periods are not necessarily indicative of the results of operations for any future period, and our interim results are not necessarily indicative of the results to be expected for the full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6"/>
        <w:gridCol w:w="216"/>
        <w:gridCol w:w="140"/>
        <w:gridCol w:w="862"/>
        <w:gridCol w:w="155"/>
        <w:gridCol w:w="166"/>
        <w:gridCol w:w="140"/>
        <w:gridCol w:w="862"/>
        <w:gridCol w:w="155"/>
        <w:gridCol w:w="166"/>
        <w:gridCol w:w="140"/>
        <w:gridCol w:w="741"/>
        <w:gridCol w:w="155"/>
        <w:gridCol w:w="166"/>
        <w:gridCol w:w="78"/>
        <w:gridCol w:w="530"/>
        <w:gridCol w:w="357"/>
      </w:tblGrid>
      <w:tr>
        <w:trPr/>
        <w:tc>
          <w:tcPr>
            <w:tcW w:w="5176"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17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32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October 31,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8"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b/>
              </w:rPr>
            </w:pPr>
            <w:r>
              <w:rPr>
                <w:b/>
              </w:rPr>
              <w:t>(in thousands)</w:t>
            </w:r>
          </w:p>
        </w:tc>
        <w:tc>
          <w:tcPr>
            <w:tcW w:w="216" w:type="dxa"/>
            <w:tcBorders/>
            <w:vAlign w:val="bottom"/>
          </w:tcPr>
          <w:p>
            <w:pPr>
              <w:pStyle w:val="TableContents"/>
              <w:bidi w:val="0"/>
              <w:spacing w:before="0" w:after="283"/>
              <w:jc w:val="left"/>
              <w:rPr/>
            </w:pPr>
            <w:r>
              <w:rPr/>
              <w:t>  </w:t>
            </w:r>
          </w:p>
        </w:tc>
        <w:tc>
          <w:tcPr>
            <w:tcW w:w="100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0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Change</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Change</w:t>
            </w:r>
          </w:p>
        </w:tc>
        <w:tc>
          <w:tcPr>
            <w:tcW w:w="357"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27,492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9,483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18,009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190</w:t>
            </w:r>
          </w:p>
        </w:tc>
        <w:tc>
          <w:tcPr>
            <w:tcW w:w="357"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17,462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11,398</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6,064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53</w:t>
            </w:r>
          </w:p>
        </w:tc>
        <w:tc>
          <w:tcPr>
            <w:tcW w:w="357"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10,030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(1,915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11,945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624</w:t>
            </w:r>
          </w:p>
        </w:tc>
        <w:tc>
          <w:tcPr>
            <w:tcW w:w="357"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costs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6,913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7,934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(1,021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(13</w:t>
            </w:r>
          </w:p>
        </w:tc>
        <w:tc>
          <w:tcPr>
            <w:tcW w:w="357"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40,682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34,919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5,763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17</w:t>
            </w:r>
          </w:p>
        </w:tc>
        <w:tc>
          <w:tcPr>
            <w:tcW w:w="357"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47,595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42,853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4,742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11</w:t>
            </w:r>
          </w:p>
        </w:tc>
        <w:tc>
          <w:tcPr>
            <w:tcW w:w="357"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(37,565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(44,768</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7,203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(16</w:t>
            </w:r>
          </w:p>
        </w:tc>
        <w:tc>
          <w:tcPr>
            <w:tcW w:w="357"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3,276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2,644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632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24</w:t>
            </w:r>
          </w:p>
        </w:tc>
        <w:tc>
          <w:tcPr>
            <w:tcW w:w="357"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2,768</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(2,680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(97</w:t>
            </w:r>
          </w:p>
        </w:tc>
        <w:tc>
          <w:tcPr>
            <w:tcW w:w="357"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provision for income taxes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(40,929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(50,180</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9,251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(18</w:t>
            </w:r>
          </w:p>
        </w:tc>
        <w:tc>
          <w:tcPr>
            <w:tcW w:w="357"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(benefit) for income taxes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(59</w:t>
            </w:r>
          </w:p>
        </w:tc>
        <w:tc>
          <w:tcPr>
            <w:tcW w:w="357"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(40,944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(50,217</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9,273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(18</w:t>
            </w:r>
          </w:p>
        </w:tc>
        <w:tc>
          <w:tcPr>
            <w:tcW w:w="357"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(692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(692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100</w:t>
            </w:r>
          </w:p>
        </w:tc>
        <w:tc>
          <w:tcPr>
            <w:tcW w:w="357"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attributable to West Affum Intermediate Holdings Corp.</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(40,252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(50,217</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9,965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(20</w:t>
            </w:r>
          </w:p>
        </w:tc>
        <w:tc>
          <w:tcPr>
            <w:tcW w:w="357"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Undeclared preferred stock dividends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5,706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2,915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2,791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96</w:t>
            </w:r>
          </w:p>
        </w:tc>
        <w:tc>
          <w:tcPr>
            <w:tcW w:w="357"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shareholders, basic and diluted</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2" w:type="dxa"/>
            <w:tcBorders/>
            <w:vAlign w:val="bottom"/>
          </w:tcPr>
          <w:p>
            <w:pPr>
              <w:pStyle w:val="TableContents"/>
              <w:bidi w:val="0"/>
              <w:spacing w:before="0" w:after="283"/>
              <w:jc w:val="right"/>
              <w:rPr/>
            </w:pPr>
            <w:r>
              <w:rPr/>
              <w:t>(45,958</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2" w:type="dxa"/>
            <w:tcBorders/>
            <w:vAlign w:val="bottom"/>
          </w:tcPr>
          <w:p>
            <w:pPr>
              <w:pStyle w:val="TableContents"/>
              <w:bidi w:val="0"/>
              <w:spacing w:before="0" w:after="283"/>
              <w:jc w:val="right"/>
              <w:rPr/>
            </w:pPr>
            <w:r>
              <w:rPr/>
              <w:t>(53,132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7,174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(14</w:t>
            </w:r>
          </w:p>
        </w:tc>
        <w:tc>
          <w:tcPr>
            <w:tcW w:w="357"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Comparison of the Six Months Ended October 31, 2024 and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240" w:after="0"/>
        <w:jc w:val="left"/>
        <w:rPr>
          <w:rFonts w:ascii="Times New Roman" w:hAnsi="Times New Roman"/>
          <w:sz w:val="20"/>
        </w:rPr>
      </w:pPr>
      <w:r>
        <w:rPr>
          <w:rFonts w:ascii="Times New Roman" w:hAnsi="Times New Roman"/>
          <w:sz w:val="20"/>
        </w:rPr>
        <w:t xml:space="preserve">Revenue increased by $18.0 million, or 190%, to $27.5 million for the six months ended October 31, 2024, compared to $9.5 million for the six months ended October 31, 2023, primarily driven by an increase in the number of patients using our products and an increase in reimbursement realization while reimbursement rates remained largely flat. There was a 166% increase in the number of patients using our product, along with a 9% increase in reimbursement realization due to additional payor contracts and a 12% increase in the size of our revenue cycle management team to improve collection efforts. For further information on our revenue recognition policy and estimates, see Note 2 to our condensed consolidated financial statements included elsewhere in this prospectus and below under Critical Accounting Policies and Significant Management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Costs of Revenue </w:t>
      </w:r>
    </w:p>
    <w:p>
      <w:pPr>
        <w:pStyle w:val="TextBody"/>
        <w:bidi w:val="0"/>
        <w:spacing w:before="240" w:after="0"/>
        <w:jc w:val="left"/>
        <w:rPr>
          <w:rFonts w:ascii="Times New Roman" w:hAnsi="Times New Roman"/>
          <w:sz w:val="20"/>
        </w:rPr>
      </w:pPr>
      <w:r>
        <w:rPr>
          <w:rFonts w:ascii="Times New Roman" w:hAnsi="Times New Roman"/>
          <w:sz w:val="20"/>
        </w:rPr>
        <w:t xml:space="preserve">Costs of revenue increased by $6.1 million, or 53%, to $17.5 million for the six months ended October 31, 2024, compared to $11.4 million for the six months ended October 31, 2023. The increase in cost of revenue was primarily driven by an increase of $6.7 million in the cost of disposable medical equipment supplies, equipment reconditioning and other supplier costs, which were directly attributable to an increase in the number of patients using our product, partially offset by a $0.4 million decrease in depreciation expense and a $0.2 million decrease in other supplier costs. </w:t>
      </w:r>
    </w:p>
    <w:p>
      <w:pPr>
        <w:pStyle w:val="TextBody"/>
        <w:bidi w:val="0"/>
        <w:spacing w:before="240" w:after="0"/>
        <w:jc w:val="left"/>
        <w:rPr>
          <w:rFonts w:ascii="Times New Roman" w:hAnsi="Times New Roman"/>
          <w:b/>
          <w:i/>
          <w:sz w:val="20"/>
        </w:rPr>
      </w:pPr>
      <w:r>
        <w:rPr>
          <w:rFonts w:ascii="Times New Roman" w:hAnsi="Times New Roman"/>
          <w:b/>
          <w:i/>
          <w:sz w:val="20"/>
        </w:rPr>
        <w:t xml:space="preserve">Gross Margin </w:t>
      </w:r>
    </w:p>
    <w:p>
      <w:pPr>
        <w:pStyle w:val="TextBody"/>
        <w:bidi w:val="0"/>
        <w:spacing w:before="240" w:after="0"/>
        <w:jc w:val="left"/>
        <w:rPr>
          <w:rFonts w:ascii="Times New Roman" w:hAnsi="Times New Roman"/>
          <w:sz w:val="20"/>
        </w:rPr>
      </w:pPr>
      <w:r>
        <w:rPr>
          <w:rFonts w:ascii="Times New Roman" w:hAnsi="Times New Roman"/>
          <w:sz w:val="20"/>
        </w:rPr>
        <w:t xml:space="preserve">Gross margin increased by $11.9 million to $10.0 million for the six months ended October 31, 2024, compared to $(1.9) million for the six months ended October 31, 2023. The increase in gross margin as compared to the six months ended October 31, 2023 was primarily due to growth in both our total revenue, which was driven by the increased number of patients using our product, as well as an increase in revenue per patient as a result of an increase of 9% in reimbursement realization due to an increased number of payor contracts resulting in a higher percentage of patients having greater in-network coverage through their insurance providers and improved collection efforts driven by further increases in the size of our revenue cycle management team. The increase in gross margin was also driven by a decrease in cost of revenues per patient by 42%, compared to the six months ended October 31, 2023, due to further improvements in the utilization of our rental pool of medical equipment and lower disposable costs driven by volume and manufacturing cost improvement programs we implemented during the six months ended October 31, 2024, including a therapy cable repair program approved by the FDA in May 2024. </w:t>
      </w:r>
    </w:p>
    <w:p>
      <w:pPr>
        <w:pStyle w:val="TextBody"/>
        <w:bidi w:val="0"/>
        <w:spacing w:before="24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costs decreased by $1.0 million, or 13%, to $6.9 million for the six months ended October 31, 2024, compared to $7.9 million for the six months ended October 31, 2023. The decrease was primarily driven by a $0.7 million decrease in contractor costs and a $0.3 million decrease in cost of materials. </w:t>
      </w:r>
    </w:p>
    <w:p>
      <w:pPr>
        <w:pStyle w:val="TextBody"/>
        <w:bidi w:val="0"/>
        <w:spacing w:before="24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by $5.8 million, or 17%, to $40.7 million in the six months ended October 31, 2024, compared to $34.9 million for the six months ended October 31, 2023. The increase was primarily driven by a $5.9 million increase in personnel expenses such as salaries, benefits and stock-based compensation, resulting from an increase in headcount, and a $0.5 million increase in travel expenses, offset by a $0.4 million decrease in legal expenses and a net $0.2 million decrease in other selling, general and administrative expenses.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Interest and Other Expense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increased by $0.6 million, or 24%, to $3.3 million in the six months ended October 31, 2024, compared to $2.7 million for the six months ended October 31, 2023. The increase was attributable to interest expense and amortization of debt discounts and debt issuance costs related to borrowings under our Term Loan. </w:t>
      </w:r>
    </w:p>
    <w:p>
      <w:pPr>
        <w:pStyle w:val="TextBody"/>
        <w:bidi w:val="0"/>
        <w:spacing w:before="240" w:after="0"/>
        <w:jc w:val="left"/>
        <w:rPr>
          <w:rFonts w:ascii="Times New Roman" w:hAnsi="Times New Roman"/>
          <w:sz w:val="20"/>
        </w:rPr>
      </w:pPr>
      <w:r>
        <w:rPr>
          <w:rFonts w:ascii="Times New Roman" w:hAnsi="Times New Roman"/>
          <w:sz w:val="20"/>
        </w:rPr>
        <w:t xml:space="preserve">Other expense decreased by $2.7 million, or 97%, to less than $0.1 million in the six months ended October 31, 2024, compared to $2.8 million for the six months ended October 31, 2023. The decrease was attributable to an early loan termination fee and a loss on debt extinguishment totaling $2.7 million related to our Term Loan 2020 (as defined below) that occurred in September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For each of the six months ended October 31, 2024 and 2023, the tax provision was less than $0.1 million, which was primarily related to state tax liabilities in the United States. </w:t>
      </w:r>
    </w:p>
    <w:p>
      <w:pPr>
        <w:pStyle w:val="TextBody"/>
        <w:bidi w:val="0"/>
        <w:spacing w:before="240" w:after="0"/>
        <w:jc w:val="left"/>
        <w:rPr>
          <w:rFonts w:ascii="Times New Roman" w:hAnsi="Times New Roman"/>
          <w:b/>
          <w:sz w:val="20"/>
        </w:rPr>
      </w:pPr>
      <w:r>
        <w:rPr>
          <w:rFonts w:ascii="Times New Roman" w:hAnsi="Times New Roman"/>
          <w:b/>
          <w:sz w:val="20"/>
        </w:rPr>
        <w:t xml:space="preserve">Results of Operations for the Fiscal Years Ended April 30, 2024 and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results of operations for the fiscal years ended April 30, 2024 and 2023. We have derived the data for the fiscal years ended April 30, 2024 and 2023 from our consolidated financial statements included elsewhere in this prospectus. This information should be read in conjunction with our consolidated financial statements and related notes included elsewhere in this prospectus. The results for historical periods are not necessarily indicative of the results of operations for any future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54"/>
        <w:gridCol w:w="211"/>
        <w:gridCol w:w="140"/>
        <w:gridCol w:w="965"/>
        <w:gridCol w:w="155"/>
        <w:gridCol w:w="166"/>
        <w:gridCol w:w="140"/>
        <w:gridCol w:w="814"/>
        <w:gridCol w:w="155"/>
        <w:gridCol w:w="166"/>
        <w:gridCol w:w="140"/>
        <w:gridCol w:w="814"/>
        <w:gridCol w:w="155"/>
        <w:gridCol w:w="166"/>
        <w:gridCol w:w="78"/>
        <w:gridCol w:w="497"/>
        <w:gridCol w:w="389"/>
      </w:tblGrid>
      <w:tr>
        <w:trPr/>
        <w:tc>
          <w:tcPr>
            <w:tcW w:w="5054"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505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80"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Year Ended</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April 30,</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b/>
              </w:rPr>
            </w:pPr>
            <w:r>
              <w:rPr>
                <w:b/>
              </w:rPr>
              <w:t>(in thousands)</w:t>
            </w:r>
          </w:p>
        </w:tc>
        <w:tc>
          <w:tcPr>
            <w:tcW w:w="211" w:type="dxa"/>
            <w:tcBorders/>
            <w:vAlign w:val="bottom"/>
          </w:tcPr>
          <w:p>
            <w:pPr>
              <w:pStyle w:val="TableContents"/>
              <w:bidi w:val="0"/>
              <w:spacing w:before="0" w:after="283"/>
              <w:jc w:val="left"/>
              <w:rPr/>
            </w:pPr>
            <w:r>
              <w:rPr/>
              <w:t>  </w:t>
            </w:r>
          </w:p>
        </w:tc>
        <w:tc>
          <w:tcPr>
            <w:tcW w:w="110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Change</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Change</w:t>
            </w:r>
          </w:p>
        </w:tc>
        <w:tc>
          <w:tcPr>
            <w:tcW w:w="389"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27,814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7,630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20,184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265</w:t>
            </w:r>
          </w:p>
        </w:tc>
        <w:tc>
          <w:tcPr>
            <w:tcW w:w="389"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27,452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18,281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9,171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50</w:t>
            </w:r>
          </w:p>
        </w:tc>
        <w:tc>
          <w:tcPr>
            <w:tcW w:w="389"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389" w:type="dxa"/>
            <w:tcBorders/>
            <w:vAlign w:val="center"/>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(10,651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11,013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103</w:t>
            </w:r>
          </w:p>
        </w:tc>
        <w:tc>
          <w:tcPr>
            <w:tcW w:w="389"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costs</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15,490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15,756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(266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(2</w:t>
            </w:r>
          </w:p>
        </w:tc>
        <w:tc>
          <w:tcPr>
            <w:tcW w:w="389"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69,935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54,014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15,921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29</w:t>
            </w:r>
          </w:p>
        </w:tc>
        <w:tc>
          <w:tcPr>
            <w:tcW w:w="389"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389" w:type="dxa"/>
            <w:tcBorders/>
            <w:vAlign w:val="center"/>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85,425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69,770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15,655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22</w:t>
            </w:r>
          </w:p>
        </w:tc>
        <w:tc>
          <w:tcPr>
            <w:tcW w:w="389" w:type="dxa"/>
            <w:tcBorders/>
            <w:shd w:fill="CCEEFF" w:val="clear"/>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389" w:type="dxa"/>
            <w:tcBorders/>
            <w:vAlign w:val="center"/>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(85,063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(80,421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(4,642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6</w:t>
            </w:r>
          </w:p>
        </w:tc>
        <w:tc>
          <w:tcPr>
            <w:tcW w:w="389"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389" w:type="dxa"/>
            <w:tcBorders/>
            <w:vAlign w:val="center"/>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sz w:val="4"/>
                <w:szCs w:val="4"/>
              </w:rPr>
            </w:pPr>
            <w:r>
              <w:rPr>
                <w:sz w:val="4"/>
                <w:szCs w:val="4"/>
              </w:rPr>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6,230</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5,629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601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11</w:t>
            </w:r>
          </w:p>
        </w:tc>
        <w:tc>
          <w:tcPr>
            <w:tcW w:w="389"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2,803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(1,827</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4,630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253</w:t>
            </w:r>
          </w:p>
        </w:tc>
        <w:tc>
          <w:tcPr>
            <w:tcW w:w="389" w:type="dxa"/>
            <w:tcBorders/>
            <w:shd w:fill="CCEEFF" w:val="clear"/>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389" w:type="dxa"/>
            <w:tcBorders/>
            <w:vAlign w:val="center"/>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provision for income taxes</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(94,096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(84,223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(9,873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12</w:t>
            </w:r>
          </w:p>
        </w:tc>
        <w:tc>
          <w:tcPr>
            <w:tcW w:w="389"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60</w:t>
            </w:r>
          </w:p>
        </w:tc>
        <w:tc>
          <w:tcPr>
            <w:tcW w:w="389" w:type="dxa"/>
            <w:tcBorders/>
            <w:shd w:fill="CCEEFF" w:val="clear"/>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389" w:type="dxa"/>
            <w:tcBorders/>
            <w:vAlign w:val="center"/>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(94,120</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(84,238</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(9,882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12</w:t>
            </w:r>
          </w:p>
        </w:tc>
        <w:tc>
          <w:tcPr>
            <w:tcW w:w="389"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Undeclared preferred stock dividends</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6,721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2,499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4,222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169</w:t>
            </w:r>
          </w:p>
        </w:tc>
        <w:tc>
          <w:tcPr>
            <w:tcW w:w="389" w:type="dxa"/>
            <w:tcBorders/>
            <w:shd w:fill="CCEEFF" w:val="clear"/>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389" w:type="dxa"/>
            <w:tcBorders/>
            <w:vAlign w:val="center"/>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shareholders, basic and diluted</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(100,841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(86,737</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(14,104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16</w:t>
            </w:r>
          </w:p>
        </w:tc>
        <w:tc>
          <w:tcPr>
            <w:tcW w:w="389"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38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Comparison of the Fiscal Years Ended April 30, 2024 and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240" w:after="0"/>
        <w:jc w:val="left"/>
        <w:rPr>
          <w:rFonts w:ascii="Times New Roman" w:hAnsi="Times New Roman"/>
          <w:sz w:val="20"/>
        </w:rPr>
      </w:pPr>
      <w:r>
        <w:rPr>
          <w:rFonts w:ascii="Times New Roman" w:hAnsi="Times New Roman"/>
          <w:sz w:val="20"/>
        </w:rPr>
        <w:t xml:space="preserve">Revenue increased by $20.2 million, or 265%, to $27.8 million for the fiscal year ended April 30, 2024, from $7.6 million for the fiscal year ended April 30, 2023, primarily driven by an increase in the number of patients using our products and an increase in reimbursement realization while reimbursement rates remained largely flat. There was a 72% increase in the number of patients using our product, along with an increase in reimbursement realization due to additional payor contracts and a 37% increase in the size of our revenue cycle management team to improve collection efforts. For further information on our revenue recognition policy and estimates, see Note 2 to our consolidated financial statements included elsewhere in this prospectus and below under Critical Accounting Policies and Significant Management Estimates.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Costs of Revenue </w:t>
      </w:r>
    </w:p>
    <w:p>
      <w:pPr>
        <w:pStyle w:val="TextBody"/>
        <w:bidi w:val="0"/>
        <w:spacing w:before="240" w:after="0"/>
        <w:jc w:val="left"/>
        <w:rPr>
          <w:rFonts w:ascii="Times New Roman" w:hAnsi="Times New Roman"/>
          <w:sz w:val="20"/>
        </w:rPr>
      </w:pPr>
      <w:r>
        <w:rPr>
          <w:rFonts w:ascii="Times New Roman" w:hAnsi="Times New Roman"/>
          <w:sz w:val="20"/>
        </w:rPr>
        <w:t xml:space="preserve">Costs of revenue increased by $9.2 million, or 50%, to $27.5 million for the fiscal year ended April 30, 2024, from $18.3 million for the fiscal year ended April 30, 2023. The increase in cost of revenue was primarily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driven by an increase of $12.5 million in the cost of disposable medical equipment supplies, equipment reconditioning and other supplier costs, which were directly attributable to an increase in the number of patients using our product, partially offset by $3.3 million in savings generated from volume purchases of reusable and disposable components and continued manufacturing process improvements to reduce labor and material costs. </w:t>
      </w:r>
    </w:p>
    <w:p>
      <w:pPr>
        <w:pStyle w:val="TextBody"/>
        <w:bidi w:val="0"/>
        <w:spacing w:before="240" w:after="0"/>
        <w:jc w:val="left"/>
        <w:rPr>
          <w:rFonts w:ascii="Times New Roman" w:hAnsi="Times New Roman"/>
          <w:b/>
          <w:i/>
          <w:sz w:val="20"/>
        </w:rPr>
      </w:pPr>
      <w:r>
        <w:rPr>
          <w:rFonts w:ascii="Times New Roman" w:hAnsi="Times New Roman"/>
          <w:b/>
          <w:i/>
          <w:sz w:val="20"/>
        </w:rPr>
        <w:t xml:space="preserve">Gross Margin </w:t>
      </w:r>
    </w:p>
    <w:p>
      <w:pPr>
        <w:pStyle w:val="TextBody"/>
        <w:bidi w:val="0"/>
        <w:spacing w:before="240" w:after="0"/>
        <w:jc w:val="left"/>
        <w:rPr>
          <w:rFonts w:ascii="Times New Roman" w:hAnsi="Times New Roman"/>
          <w:sz w:val="20"/>
        </w:rPr>
      </w:pPr>
      <w:r>
        <w:rPr>
          <w:rFonts w:ascii="Times New Roman" w:hAnsi="Times New Roman"/>
          <w:sz w:val="20"/>
        </w:rPr>
        <w:t xml:space="preserve">Gross margin increased by $11.0 million to $0.4 million for the fiscal year ended April 30, 2024, from $(10.6) million for the fiscal year ended April 30, 2023. The increase in gross margin as compared to the fiscal year ended April 30, 2023 was primarily due to growth in our revenue, which was driven by the increased number of patients using our product and an increase of 111% in reimbursement realization due to increased number of payor contracts and improved collection efforts driven by an increase in the size of our revenue cycle management team. The increase in gross margin was also partly attributable to a decrease in cost of revenues per patient by 13% due to our improved utilization of the rental pool of medical equipment and lower disposable costs driven by volume and manufacturing cost improvement programs, including a focus of supply chain management to improve efficiency to timely inspect, test, recertify and deliver our ASSURE WCDs to patients at a faster rate and minimize product idle time between patients.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costs were largely flat at $15.5 million in the fiscal year ended April 30, 2024, compared to $15.8 million in the fiscal year ended April 30,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by $15.9 million, or 29%, to $69.9 million in the fiscal year ended April 30, 2024, from $54.0 million for the fiscal year ended April 30, 2023. The increase was primarily driven by a $9.8 million increase in personnel expenses such as salaries, benefits and stock-based compensation, resulting from an increase in headcount, $2.0 million increase in commissions and bonuses driven by an increase in revenue, $0.9 million increase in sales and marketing expense, $0.8 million increase in software license fees, and a net $2.4 million increase in other selling, general and administrative expenses.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Interest and Other Expense (Income)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increased by $0.6 million, or 11%, to $6.2 million in the fiscal year ended April 30, 2024, from $5.6 million for the fiscal year ended April 30, 2023. The increase was attributable to interest expense and amortization of debt discounts and debt issuance costs related to borrowings under our Term Loan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Other expense incurred during the fiscal year ended April 30, 2024, primarily included an early loan termination fee and a loss on debt extinguishment totaling $2.7 million related to our Term Loan 2020 (as defined below), along with $0.1 million related to other expenses. Other income generated during the fiscal year ended April 30, 2023 primarily consisted of a tax refund of $1.8 million.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For each of the fiscal years ended April 30, 2024 and 2023, the tax provision was less than $0.1 million, which was primarily related to state tax liabilities in the United States. </w:t>
      </w:r>
    </w:p>
    <w:p>
      <w:pPr>
        <w:pStyle w:val="TextBody"/>
        <w:bidi w:val="0"/>
        <w:spacing w:before="240" w:after="0"/>
        <w:jc w:val="left"/>
        <w:rPr>
          <w:rFonts w:ascii="Times New Roman" w:hAnsi="Times New Roman"/>
          <w:b/>
          <w:sz w:val="20"/>
        </w:rPr>
      </w:pPr>
      <w:r>
        <w:rPr>
          <w:rFonts w:ascii="Times New Roman" w:hAnsi="Times New Roman"/>
          <w:b/>
          <w:sz w:val="20"/>
        </w:rPr>
        <w:t xml:space="preserve">Quarterly Results of Operations Data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unaudited quarterly results of operations for each of the four fiscal quarters ended April 30, 2024 and the fiscal quarters ended July 31, 2024 and October 31, 2024.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each of these quarters has been prepared in accordance with U.S. generally accepted accounting principles (GAAP), on the same basis as our consolidated financial statements included elsewhere in this prospectus. This information should be read in conjunction with our consolidated financial statements and related notes included elsewhere in this prospectus. The results for historical quarterly periods are not necessarily indicative of the results of operations for any future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6"/>
        <w:gridCol w:w="175"/>
        <w:gridCol w:w="140"/>
        <w:gridCol w:w="764"/>
        <w:gridCol w:w="155"/>
        <w:gridCol w:w="132"/>
        <w:gridCol w:w="140"/>
        <w:gridCol w:w="764"/>
        <w:gridCol w:w="155"/>
        <w:gridCol w:w="132"/>
        <w:gridCol w:w="140"/>
        <w:gridCol w:w="764"/>
        <w:gridCol w:w="155"/>
        <w:gridCol w:w="132"/>
        <w:gridCol w:w="140"/>
        <w:gridCol w:w="764"/>
        <w:gridCol w:w="155"/>
        <w:gridCol w:w="131"/>
        <w:gridCol w:w="140"/>
        <w:gridCol w:w="764"/>
        <w:gridCol w:w="155"/>
        <w:gridCol w:w="132"/>
        <w:gridCol w:w="140"/>
        <w:gridCol w:w="764"/>
        <w:gridCol w:w="166"/>
      </w:tblGrid>
      <w:tr>
        <w:trPr/>
        <w:tc>
          <w:tcPr>
            <w:tcW w:w="300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858" w:type="dxa"/>
            <w:gridSpan w:val="2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Three Months Ended</w:t>
            </w:r>
          </w:p>
        </w:tc>
        <w:tc>
          <w:tcPr>
            <w:tcW w:w="166" w:type="dxa"/>
            <w:tcBorders/>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b/>
              </w:rPr>
            </w:pPr>
            <w:r>
              <w:rPr>
                <w:b/>
              </w:rPr>
              <w:t>(in thousands)</w:t>
            </w:r>
          </w:p>
        </w:tc>
        <w:tc>
          <w:tcPr>
            <w:tcW w:w="175"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July 31,</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2023</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October 31,</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2023</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January 31,</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April 30,</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July 31,</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October 31,</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2024</w:t>
            </w:r>
          </w:p>
        </w:tc>
        <w:tc>
          <w:tcPr>
            <w:tcW w:w="166" w:type="dxa"/>
            <w:tcBorders/>
            <w:vAlign w:val="bottom"/>
          </w:tcPr>
          <w:p>
            <w:pPr>
              <w:pStyle w:val="TableContents"/>
              <w:bidi w:val="0"/>
              <w:spacing w:before="0" w:after="283"/>
              <w:jc w:val="left"/>
              <w:rPr/>
            </w:pPr>
            <w:r>
              <w:rPr/>
              <w:t> </w:t>
            </w:r>
          </w:p>
        </w:tc>
      </w:tr>
      <w:tr>
        <w:trPr/>
        <w:tc>
          <w:tcPr>
            <w:tcW w:w="3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4,464</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5,019</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8,277</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10,054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12,782</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14,710</w:t>
            </w:r>
          </w:p>
        </w:tc>
        <w:tc>
          <w:tcPr>
            <w:tcW w:w="166" w:type="dxa"/>
            <w:tcBorders/>
            <w:shd w:fill="CCEEFF" w:val="clear"/>
            <w:vAlign w:val="bottom"/>
          </w:tcPr>
          <w:p>
            <w:pPr>
              <w:pStyle w:val="TableContents"/>
              <w:bidi w:val="0"/>
              <w:spacing w:before="0" w:after="283"/>
              <w:jc w:val="left"/>
              <w:rPr/>
            </w:pPr>
            <w:r>
              <w:rPr/>
              <w:t> </w:t>
            </w:r>
          </w:p>
        </w:tc>
      </w:tr>
      <w:tr>
        <w:trPr/>
        <w:tc>
          <w:tcPr>
            <w:tcW w:w="3006"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4,623</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6,775</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7,397</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8,657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8,582</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8,880</w:t>
            </w:r>
          </w:p>
        </w:tc>
        <w:tc>
          <w:tcPr>
            <w:tcW w:w="166" w:type="dxa"/>
            <w:tcBorders/>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(1,756</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880</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1,397</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4,200</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5,830</w:t>
            </w:r>
          </w:p>
        </w:tc>
        <w:tc>
          <w:tcPr>
            <w:tcW w:w="166" w:type="dxa"/>
            <w:tcBorders/>
            <w:shd w:fill="CCEEFF" w:val="clear"/>
            <w:vAlign w:val="bottom"/>
          </w:tcPr>
          <w:p>
            <w:pPr>
              <w:pStyle w:val="TableContents"/>
              <w:bidi w:val="0"/>
              <w:spacing w:before="0" w:after="283"/>
              <w:jc w:val="left"/>
              <w:rPr/>
            </w:pPr>
            <w:r>
              <w:rPr/>
              <w:t> </w:t>
            </w:r>
          </w:p>
        </w:tc>
      </w:tr>
      <w:tr>
        <w:trPr/>
        <w:tc>
          <w:tcPr>
            <w:tcW w:w="300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3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costs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3,735</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4,199</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3,735</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3,821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3,404</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3,509</w:t>
            </w:r>
          </w:p>
        </w:tc>
        <w:tc>
          <w:tcPr>
            <w:tcW w:w="166" w:type="dxa"/>
            <w:tcBorders/>
            <w:shd w:fill="CCEEFF" w:val="clear"/>
            <w:vAlign w:val="bottom"/>
          </w:tcPr>
          <w:p>
            <w:pPr>
              <w:pStyle w:val="TableContents"/>
              <w:bidi w:val="0"/>
              <w:spacing w:before="0" w:after="283"/>
              <w:jc w:val="left"/>
              <w:rPr/>
            </w:pPr>
            <w:r>
              <w:rPr/>
              <w:t> </w:t>
            </w:r>
          </w:p>
        </w:tc>
      </w:tr>
      <w:tr>
        <w:trPr/>
        <w:tc>
          <w:tcPr>
            <w:tcW w:w="300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16,816</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18,103</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17,091</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17,925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19,227</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21,455</w:t>
            </w:r>
          </w:p>
        </w:tc>
        <w:tc>
          <w:tcPr>
            <w:tcW w:w="166" w:type="dxa"/>
            <w:tcBorders/>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20,551</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22,302</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20,826</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21,746</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22,631</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24,964</w:t>
            </w:r>
          </w:p>
        </w:tc>
        <w:tc>
          <w:tcPr>
            <w:tcW w:w="166" w:type="dxa"/>
            <w:tcBorders/>
            <w:shd w:fill="CCEEFF" w:val="clear"/>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006"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(20,710</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(24,058</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(19,946</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(20,349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(18,431</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(19,134</w:t>
            </w:r>
          </w:p>
        </w:tc>
        <w:tc>
          <w:tcPr>
            <w:tcW w:w="166" w:type="dxa"/>
            <w:tcBorders/>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300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1,254</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1,390</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1,651</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1,935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1,837</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1,439</w:t>
            </w:r>
          </w:p>
        </w:tc>
        <w:tc>
          <w:tcPr>
            <w:tcW w:w="166" w:type="dxa"/>
            <w:tcBorders/>
            <w:vAlign w:val="bottom"/>
          </w:tcPr>
          <w:p>
            <w:pPr>
              <w:pStyle w:val="TableContents"/>
              <w:bidi w:val="0"/>
              <w:spacing w:before="0" w:after="283"/>
              <w:jc w:val="left"/>
              <w:rPr/>
            </w:pPr>
            <w:r>
              <w:rPr/>
              <w:t> </w:t>
            </w:r>
          </w:p>
        </w:tc>
      </w:tr>
      <w:tr>
        <w:trPr/>
        <w:tc>
          <w:tcPr>
            <w:tcW w:w="3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2,717</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40</w:t>
            </w:r>
          </w:p>
        </w:tc>
        <w:tc>
          <w:tcPr>
            <w:tcW w:w="166" w:type="dxa"/>
            <w:tcBorders/>
            <w:shd w:fill="CCEEFF" w:val="clear"/>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006"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provision for income taxes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(22,015</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(28,165</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(21,605</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(22,311</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(20,316</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(20,613</w:t>
            </w:r>
          </w:p>
        </w:tc>
        <w:tc>
          <w:tcPr>
            <w:tcW w:w="166" w:type="dxa"/>
            <w:tcBorders/>
            <w:vAlign w:val="bottom"/>
          </w:tcPr>
          <w:p>
            <w:pPr>
              <w:pStyle w:val="TableContents"/>
              <w:bidi w:val="0"/>
              <w:spacing w:before="0" w:after="283"/>
              <w:jc w:val="left"/>
              <w:rPr/>
            </w:pPr>
            <w:r>
              <w:rPr/>
              <w:t>) </w:t>
            </w:r>
          </w:p>
        </w:tc>
      </w:tr>
      <w:tr>
        <w:trPr/>
        <w:tc>
          <w:tcPr>
            <w:tcW w:w="3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(benefit) for income taxes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8</w:t>
            </w:r>
          </w:p>
        </w:tc>
        <w:tc>
          <w:tcPr>
            <w:tcW w:w="166" w:type="dxa"/>
            <w:tcBorders/>
            <w:shd w:fill="CCEEFF" w:val="clear"/>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006"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(22,032</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(28,185</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(21,619</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(22,284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(20,323</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(20,621</w:t>
            </w:r>
          </w:p>
        </w:tc>
        <w:tc>
          <w:tcPr>
            <w:tcW w:w="166" w:type="dxa"/>
            <w:tcBorders/>
            <w:vAlign w:val="bottom"/>
          </w:tcPr>
          <w:p>
            <w:pPr>
              <w:pStyle w:val="TableContents"/>
              <w:bidi w:val="0"/>
              <w:spacing w:before="0" w:after="283"/>
              <w:jc w:val="left"/>
              <w:rPr/>
            </w:pPr>
            <w:r>
              <w:rPr/>
              <w:t>) </w:t>
            </w:r>
          </w:p>
        </w:tc>
      </w:tr>
      <w:tr>
        <w:trPr/>
        <w:tc>
          <w:tcPr>
            <w:tcW w:w="3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(439</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(253</w:t>
            </w:r>
          </w:p>
        </w:tc>
        <w:tc>
          <w:tcPr>
            <w:tcW w:w="166" w:type="dxa"/>
            <w:tcBorders/>
            <w:shd w:fill="CCEEFF" w:val="clear"/>
            <w:vAlign w:val="bottom"/>
          </w:tcPr>
          <w:p>
            <w:pPr>
              <w:pStyle w:val="TableContents"/>
              <w:bidi w:val="0"/>
              <w:spacing w:before="0" w:after="283"/>
              <w:jc w:val="left"/>
              <w:rPr/>
            </w:pPr>
            <w:r>
              <w:rPr/>
              <w:t>) </w:t>
            </w:r>
          </w:p>
        </w:tc>
      </w:tr>
      <w:tr>
        <w:trPr/>
        <w:tc>
          <w:tcPr>
            <w:tcW w:w="3006"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attributable to West Affum Intermediate Holdings Corp.</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(22,032</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(28,185</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(21,619</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(22,284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(19,884</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(20,368</w:t>
            </w:r>
          </w:p>
        </w:tc>
        <w:tc>
          <w:tcPr>
            <w:tcW w:w="166" w:type="dxa"/>
            <w:tcBorders/>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Undeclared preferred stock dividends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1,326</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1,589</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1,812</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1,994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2,383</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3,323</w:t>
            </w:r>
          </w:p>
        </w:tc>
        <w:tc>
          <w:tcPr>
            <w:tcW w:w="166" w:type="dxa"/>
            <w:tcBorders/>
            <w:shd w:fill="CCEEFF" w:val="clear"/>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00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shareholders, basic and diluted</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(23,358</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(29,774</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(23,431</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(24,278</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(22,267</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(23,691</w:t>
            </w:r>
          </w:p>
        </w:tc>
        <w:tc>
          <w:tcPr>
            <w:tcW w:w="166" w:type="dxa"/>
            <w:tcBorders/>
            <w:vAlign w:val="bottom"/>
          </w:tcPr>
          <w:p>
            <w:pPr>
              <w:pStyle w:val="TableContents"/>
              <w:bidi w:val="0"/>
              <w:spacing w:before="0" w:after="283"/>
              <w:jc w:val="left"/>
              <w:rPr/>
            </w:pPr>
            <w:r>
              <w:rPr/>
              <w:t>) </w:t>
            </w:r>
          </w:p>
        </w:tc>
      </w:tr>
      <w:tr>
        <w:trPr/>
        <w:tc>
          <w:tcPr>
            <w:tcW w:w="300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Quarterly Trends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240" w:after="0"/>
        <w:jc w:val="left"/>
        <w:rPr>
          <w:rFonts w:ascii="Times New Roman" w:hAnsi="Times New Roman"/>
          <w:sz w:val="20"/>
        </w:rPr>
      </w:pPr>
      <w:r>
        <w:rPr>
          <w:rFonts w:ascii="Times New Roman" w:hAnsi="Times New Roman"/>
          <w:sz w:val="20"/>
        </w:rPr>
        <w:t xml:space="preserve">Revenue increased sequentially in each of the periods presented primarily driven by an increase in number of patients using our product, an increase in reimbursement realization due to an increase in the number of payor contracts, and expansion of the revenue cycle management team to improve collection efforts.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Costs of Revenue </w:t>
      </w:r>
    </w:p>
    <w:p>
      <w:pPr>
        <w:pStyle w:val="TextBody"/>
        <w:bidi w:val="0"/>
        <w:spacing w:before="240" w:after="0"/>
        <w:jc w:val="left"/>
        <w:rPr>
          <w:rFonts w:ascii="Times New Roman" w:hAnsi="Times New Roman"/>
          <w:sz w:val="20"/>
        </w:rPr>
      </w:pPr>
      <w:r>
        <w:rPr>
          <w:rFonts w:ascii="Times New Roman" w:hAnsi="Times New Roman"/>
          <w:sz w:val="20"/>
        </w:rPr>
        <w:t xml:space="preserve">Costs of revenue increased sequentially in each of the periods presented primarily due to an increase in cost of disposable medical equipment supplies, equipment reconditioning and other supplier costs, which were directly attributable to an increase in the number of patients using our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Gross Margin </w:t>
      </w:r>
    </w:p>
    <w:p>
      <w:pPr>
        <w:pStyle w:val="TextBody"/>
        <w:bidi w:val="0"/>
        <w:spacing w:before="240" w:after="0"/>
        <w:jc w:val="left"/>
        <w:rPr>
          <w:rFonts w:ascii="Times New Roman" w:hAnsi="Times New Roman"/>
          <w:sz w:val="20"/>
        </w:rPr>
      </w:pPr>
      <w:r>
        <w:rPr>
          <w:rFonts w:ascii="Times New Roman" w:hAnsi="Times New Roman"/>
          <w:sz w:val="20"/>
        </w:rPr>
        <w:t xml:space="preserve">Gross margin increased sequentially in each of the periods presented primarily due to growth in our revenue due to the increased number of patients using our product and increased reimbursement realization due to increased number of payor contracts and improved collection efforts driven by an increase in size of the revenue cycle management team. The increase in gross margin was also a result of savings generated from volume purchases of reusable and disposable components and continued focus on manufacturing process improvements within cost of revenues, including a focus of supply chain management to improve efficiency to timely inspect, test, recertify, and deliver our ASSURE WCDs to patients at a faster rate and minimize product idle time between patients.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costs were largely flat in each of the periods presented.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gradually in each of the periods presented primarily due to increase in personnel expenses such as salaries, benefits and stock-based compensation, resulting from an increase in headcount and other related expenses to support the growth of our business and related infrastructure.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Interest and Other Expense (Income)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was largely flat in each of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Other expense (income) was largely flat in each of the periods presented except for the three months ended October 31, 2023 due to an early loan termination fee and a loss on debt extinguishment totaling $2.7 million related to our Term Loan 2020 (as defined below) that occurred in September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Provision (Benefit)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For each of the periods presented, the tax provision (benefit) was less than $0.1 million, which was primarily related to state tax liabilities in the United States. </w:t>
      </w:r>
    </w:p>
    <w:p>
      <w:pPr>
        <w:pStyle w:val="TextBody"/>
        <w:bidi w:val="0"/>
        <w:spacing w:before="24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devoted substantially all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 We have incurred net losses in each year since inception and expect to continue to incur net losses in the foreseeable future. Our net loss and comprehensive loss were $40.9 million and $50.2 million for the six months ended October 31, 2024 and 2023, respectively. Our net loss and comprehensive loss were $94.1 million and $84.2 million for the fiscal years ended April 30, 2024 and 2023, respectively. As of October 31, 2024, we had an accumulated deficit of $446.7 million. For the six months ended October 31, 2024 and 2023, we generated negative operating cash flows of $35.5 million and $41.5 million, respectively. For the fiscal years ended April 30, 2024 and 2023, we generated negative operating cash flows of $72.2 million and $69.6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concluded that our history of continued operating losses and accumulated deficit raise substantial doubt about our ability to continue as a going concern. See Note 1 to our consolidated financial statements for the fiscal years ended April 30, 2024 and 2023 included elsewhere in this prospectus for additional information on our assessment. Similarly, our independent registered public accounting firm included an explanatory paragraph in its report on our consolidated financial statements as of and for the fiscal years ended April 30, 2024 and 2023 included elsewhere in this prospectus, describing the existence of substantial doubt about our ability to continue as a going concern. We believe that the actions presently being taken to further implement our business plan, generate revenues, and raise additional capital provide the opportunity for us to continue as a going concern. While we believe in the viability of our strategy to generate revenues and in our ability to raise additional funds, there can be no assurances that we will be successful in these efforts and the substantial doubt will be alleviated.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Funding Requirements and Contractual Obligations </w:t>
      </w:r>
    </w:p>
    <w:p>
      <w:pPr>
        <w:pStyle w:val="TextBody"/>
        <w:bidi w:val="0"/>
        <w:spacing w:before="240" w:after="0"/>
        <w:jc w:val="left"/>
        <w:rPr>
          <w:rFonts w:ascii="Times New Roman" w:hAnsi="Times New Roman"/>
          <w:sz w:val="20"/>
        </w:rPr>
      </w:pPr>
      <w:r>
        <w:rPr>
          <w:rFonts w:ascii="Times New Roman" w:hAnsi="Times New Roman"/>
          <w:sz w:val="20"/>
        </w:rPr>
        <w:t xml:space="preserve">We have incurred significant operating losses and negative cash flows driven by substantial research and development costs as well as our large investment in our fleet of ASSURE WCDs and building our commercial organization. Our operations have focused on developing products, establishing our intellectual property portfolio, marketing our product and staffing the Company to support continued growth. Our primary use of cash has been to fund operating expenses, which comprise research and development costs, and costs of building the commercial team and necessary infrastructure to support our growth. Cash used to fund our operating expenses is impacted by the timing of when we pay for such expenses. </w:t>
      </w:r>
    </w:p>
    <w:p>
      <w:pPr>
        <w:pStyle w:val="TextBody"/>
        <w:bidi w:val="0"/>
        <w:spacing w:before="240" w:after="0"/>
        <w:jc w:val="left"/>
        <w:rPr>
          <w:rFonts w:ascii="Times New Roman" w:hAnsi="Times New Roman"/>
          <w:sz w:val="20"/>
        </w:rPr>
      </w:pPr>
      <w:r>
        <w:rPr>
          <w:rFonts w:ascii="Times New Roman" w:hAnsi="Times New Roman"/>
          <w:sz w:val="20"/>
        </w:rPr>
        <w:t xml:space="preserve">We obtained the PMA for our ASSURE WCD from the FDA on July 27, 2021 and fully commercially launched our ASSURE WCD in August 2022. We will continue to scale the business and therefore expect operating losses to continue. While we believe that our existing cash and cash equivalents (including the net proceeds from this offering) will be sufficient to fund our operating and capital needs for at least the next 12 months, we may require additional funding to execute on our growth plans, which may include future equity and debt financings. Our assessment of the period of time through which our financial resources will be adequate to support our operations is a forward-looking statement and involves risks and uncertainties. </w:t>
      </w:r>
    </w:p>
    <w:p>
      <w:pPr>
        <w:pStyle w:val="TextBody"/>
        <w:bidi w:val="0"/>
        <w:spacing w:before="240" w:after="0"/>
        <w:jc w:val="left"/>
        <w:rPr>
          <w:rFonts w:ascii="Times New Roman" w:hAnsi="Times New Roman"/>
          <w:sz w:val="20"/>
        </w:rPr>
      </w:pPr>
      <w:r>
        <w:rPr>
          <w:rFonts w:ascii="Times New Roman" w:hAnsi="Times New Roman"/>
          <w:sz w:val="20"/>
        </w:rPr>
        <w:t>Our future obligations primarily consist of our debt obligations. From our inception, our operations have primarily been funded by proceeds from our capital contributions made by West Affum Holdings, L.P., our direct parent prior to the Organizational Transactions, borrowings under our Term Loan and, prior to its repayment in September of 2023, our Term Loan 2020, and our revenues. We expect our cash generation from operations and future ability to refinance or secure additional equity or financing to be sufficient to repay our outstanding debt obligations. As of October 31, 2024, the outstanding principal amount under the Term Loan, which is further described in the section titled Description of Certain Indebtedness. was approximately $45.0 million. The Term Loan 2020 was repaid in full in September 2023. For further information, see Note 7, </w:t>
      </w:r>
      <w:r>
        <w:rPr>
          <w:rFonts w:ascii="Times New Roman" w:hAnsi="Times New Roman"/>
          <w:i/>
          <w:sz w:val="20"/>
        </w:rPr>
        <w:t>Long-Term Debt</w:t>
      </w:r>
      <w:r>
        <w:rPr>
          <w:rFonts w:ascii="Times New Roman" w:hAnsi="Times New Roman"/>
          <w:sz w:val="20"/>
        </w:rPr>
        <w:t xml:space="preserve">, to our consolidated financial statements included elsewhere in this prospectus. </w:t>
      </w:r>
    </w:p>
    <w:p>
      <w:pPr>
        <w:pStyle w:val="TextBody"/>
        <w:bidi w:val="0"/>
        <w:spacing w:before="24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240" w:after="0"/>
        <w:jc w:val="left"/>
        <w:rPr>
          <w:rFonts w:ascii="Times New Roman" w:hAnsi="Times New Roman"/>
          <w:sz w:val="20"/>
        </w:rPr>
      </w:pPr>
      <w:r>
        <w:rPr>
          <w:rFonts w:ascii="Times New Roman" w:hAnsi="Times New Roman"/>
          <w:sz w:val="20"/>
        </w:rPr>
        <w:t>In the six months ended October 31, 2024 and 2023, we received $103.4 million and $50.0 million, respectively, in cash from West Affum Holdings, L.P. in return for the issuance of redeemable preferred stock as described in Note 10, </w:t>
      </w:r>
      <w:r>
        <w:rPr>
          <w:rFonts w:ascii="Times New Roman" w:hAnsi="Times New Roman"/>
          <w:i/>
          <w:sz w:val="20"/>
        </w:rPr>
        <w:t>Redeemable Preferred Stock</w:t>
      </w:r>
      <w:r>
        <w:rPr>
          <w:rFonts w:ascii="Times New Roman" w:hAnsi="Times New Roman"/>
          <w:sz w:val="20"/>
        </w:rPr>
        <w:t xml:space="preserve">, to our consolidated financial statements included elsewhere in this prospectus. Additionally, in July 2024, one of our subsidiaries received $17.1 million from a third-party investor in return for redeemable shares of the subsidiary. As of October 31, 2024, we had cash and cash equivalents and restricted cash balances of $77.3 million and an accumulated deficit of $446.7 million. In the fiscal years ended April 30, 2024 and 2023, we received $75.0 million and $102.1 million, respectively, in cash from West Affum Holdings, L.P. in return for the issuance of redeemable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2020, we entered into the Loan and Security Agreement with a lender providing for aggregate borrowings of up to $50.0 million (as amended, the Term Loan 2020). Available commitments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Term Loan 2020 were able to be drawn in up to three tranches, which were subject to the Company achieving certain funding, regulatory or revenue milestones, with $20.0 million available in the first tranche and $15.0 million available in each of the second and third tranches.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2020, we drew the first tranche of the Term Loan 2020 in the amount of $20.0 million. In conjunction with the draw on the first tranche, West Affum Holdings, L.P. issued a warrant to the lender to purchase up to 49,044 shares of West Affum Holdings, L.P.s common units at an exercise price of $22.63 per unit. The fair value of the warrant is $0.3 million and is recognized as a debt discount and as a capital contribution, and the debt discount is amortized over the term of the loan to interest expense. On January 21, 2022, we drew on the second tranche of the Term Loan 2020 in the amount of $15.0 million. In conjunction with the draw of the second tranche, West Affum Holdings, L.P. issued a warrant to the lender to purchase up to 36,783 shares of West Affum Holdings, L.P.s common units at an exercise price of $26.24 per unit. The fair value of the warrant is $0.4 million and is recognized as a debt discount and as a capital contribution, and the debt discount is amortized over the term of the loan to interest expense.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2023, we repaid our Term Loan 2020 in full using a portion of our borrowings under the Term Loan.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2023, we entered into a credit agreement with Perceptive Credit Holdings IV, LP, as administrative agent, which provides for a senior secured delayed draw term loan facility in an aggregate principal amount of up to $60.0 million. The Term Loan matures on September 29, 2028. Borrowings under the Term Loan are made available in up to three tranches, the first of which is available upon closing of the Term Loan and two follow-on tranches of $7.5 million which become available before November 1, 2024 and February 1, 2025 and are dependent upon achievement of revenue milestones of trailing twelve month revenues of $50.0 million and $70.0 million, respectively. We did not meet the revenue milestone required to draw on the November 1, 2024 follow-on tranche of the Term Loan. As of October 31, 2024, we determined it is not likely that we will meet the revenue milestone required to draw on the February 1, 2025 follow-on tranche of the Term Loan. As a result, we expensed the asset related to debt issuance costs and facility fees in the amount of $0.5 million. The Term Loan bears interest on outstanding balances of Term SOFR plus a margin of 7.25% per annum. On or prior to March 31, 2025, up to 2.00% of the margin can be paid-in-kind, accrued and added to the principal balance and compounded quarterly. All interest is due and payable quarterly in arrears.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2023, we drew the initial $45.0 million under the Term Loan. In conjunction with the draw of the first tranche, West Affum Holdings, L.P. issued a warrant to the lender to purchase up to 256,410 shares of West Affum Holdings, L.P.s common units at an exercise price of $17.55 per share. The fair value of the warrant is $1.6 million and is recognized as a debt discount and as a capital contribution, and the debt discount is amortized over the term of the loan to interest expense. </w:t>
      </w:r>
    </w:p>
    <w:p>
      <w:pPr>
        <w:pStyle w:val="TextBody"/>
        <w:bidi w:val="0"/>
        <w:spacing w:before="240" w:after="0"/>
        <w:jc w:val="left"/>
        <w:rPr>
          <w:rFonts w:ascii="Times New Roman" w:hAnsi="Times New Roman"/>
          <w:sz w:val="20"/>
        </w:rPr>
      </w:pPr>
      <w:r>
        <w:rPr>
          <w:rFonts w:ascii="Times New Roman" w:hAnsi="Times New Roman"/>
          <w:sz w:val="20"/>
        </w:rPr>
        <w:t xml:space="preserve">In February of 2025, we amended the Term Loan pursuant to the Second Amendment (as defined below) to adjust the revenue milestones set forth in the Term Loan and to amend our ability to draw on additional funds. Pursuant to the Second Amendment, if this offering is not completed by July 31, 2025, the revenue milestones will revert to the revenue milestones set forth in the Term Loan prior to the Second Amendment. Further, upon the completion of this offering and the achievement of $60.0 million of revenue on a 12-month trailing basis, an additional $15.0 million term loan draw is available to us through July 31, 2026. </w:t>
      </w:r>
    </w:p>
    <w:p>
      <w:pPr>
        <w:pStyle w:val="TextBody"/>
        <w:bidi w:val="0"/>
        <w:spacing w:before="240" w:after="0"/>
        <w:jc w:val="left"/>
        <w:rPr>
          <w:rFonts w:ascii="Times New Roman" w:hAnsi="Times New Roman"/>
          <w:sz w:val="20"/>
        </w:rPr>
      </w:pPr>
      <w:r>
        <w:rPr>
          <w:rFonts w:ascii="Times New Roman" w:hAnsi="Times New Roman"/>
          <w:sz w:val="20"/>
        </w:rPr>
        <w:t>For further information, see Note 7, </w:t>
      </w:r>
      <w:r>
        <w:rPr>
          <w:rFonts w:ascii="Times New Roman" w:hAnsi="Times New Roman"/>
          <w:i/>
          <w:sz w:val="20"/>
        </w:rPr>
        <w:t>Long-Term Debt</w:t>
      </w:r>
      <w:r>
        <w:rPr>
          <w:rFonts w:ascii="Times New Roman" w:hAnsi="Times New Roman"/>
          <w:sz w:val="20"/>
        </w:rPr>
        <w:t xml:space="preserve">, to our condensed consolidated financial statements for the six months ended October 31, 2024 and 2023, and consolidated financial statements for the fiscal years ended April 30, 2024 and 2023 included elsewhere in this prospectus and under Description of Certain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summary of our cash flows from operating activities, investing activities and financing activities for the periods indicated: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783"/>
        <w:gridCol w:w="342"/>
        <w:gridCol w:w="149"/>
        <w:gridCol w:w="807"/>
        <w:gridCol w:w="158"/>
        <w:gridCol w:w="342"/>
        <w:gridCol w:w="149"/>
        <w:gridCol w:w="781"/>
        <w:gridCol w:w="163"/>
      </w:tblGrid>
      <w:tr>
        <w:trPr/>
        <w:tc>
          <w:tcPr>
            <w:tcW w:w="5783"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83"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38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 xml:space="preserve">Six Months Ended </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October 31,</w:t>
            </w:r>
          </w:p>
        </w:tc>
        <w:tc>
          <w:tcPr>
            <w:tcW w:w="163" w:type="dxa"/>
            <w:tcBorders/>
            <w:vAlign w:val="bottom"/>
          </w:tcPr>
          <w:p>
            <w:pPr>
              <w:pStyle w:val="TableContents"/>
              <w:bidi w:val="0"/>
              <w:spacing w:before="0" w:after="283"/>
              <w:jc w:val="left"/>
              <w:rPr/>
            </w:pPr>
            <w:r>
              <w:rPr/>
              <w:t> </w:t>
            </w:r>
          </w:p>
        </w:tc>
      </w:tr>
      <w:tr>
        <w:trPr/>
        <w:tc>
          <w:tcPr>
            <w:tcW w:w="5783" w:type="dxa"/>
            <w:tcBorders/>
            <w:vAlign w:val="bottom"/>
          </w:tcPr>
          <w:p>
            <w:pPr>
              <w:pStyle w:val="TableContents"/>
              <w:bidi w:val="0"/>
              <w:spacing w:before="0" w:after="283"/>
              <w:jc w:val="left"/>
              <w:rPr>
                <w:b/>
              </w:rPr>
            </w:pPr>
            <w:r>
              <w:rPr>
                <w:b/>
              </w:rPr>
              <w:t>(in thousands)</w:t>
            </w:r>
          </w:p>
        </w:tc>
        <w:tc>
          <w:tcPr>
            <w:tcW w:w="342" w:type="dxa"/>
            <w:tcBorders/>
            <w:vAlign w:val="bottom"/>
          </w:tcPr>
          <w:p>
            <w:pPr>
              <w:pStyle w:val="TableContents"/>
              <w:bidi w:val="0"/>
              <w:spacing w:before="0" w:after="283"/>
              <w:jc w:val="left"/>
              <w:rPr/>
            </w:pPr>
            <w:r>
              <w:rPr/>
              <w:t>  </w:t>
            </w:r>
          </w:p>
        </w:tc>
        <w:tc>
          <w:tcPr>
            <w:tcW w:w="956"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8"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93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3" w:type="dxa"/>
            <w:tcBorders/>
            <w:vAlign w:val="bottom"/>
          </w:tcPr>
          <w:p>
            <w:pPr>
              <w:pStyle w:val="TableContents"/>
              <w:bidi w:val="0"/>
              <w:spacing w:before="0" w:after="283"/>
              <w:jc w:val="left"/>
              <w:rPr/>
            </w:pPr>
            <w:r>
              <w:rPr/>
              <w:t> </w:t>
            </w:r>
          </w:p>
        </w:tc>
      </w:tr>
      <w:tr>
        <w:trPr/>
        <w:tc>
          <w:tcPr>
            <w:tcW w:w="57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4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(35,525</w:t>
            </w:r>
          </w:p>
        </w:tc>
        <w:tc>
          <w:tcPr>
            <w:tcW w:w="158"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(41,491</w:t>
            </w:r>
          </w:p>
        </w:tc>
        <w:tc>
          <w:tcPr>
            <w:tcW w:w="163" w:type="dxa"/>
            <w:tcBorders/>
            <w:shd w:fill="CCEEFF" w:val="clear"/>
            <w:vAlign w:val="bottom"/>
          </w:tcPr>
          <w:p>
            <w:pPr>
              <w:pStyle w:val="TableContents"/>
              <w:bidi w:val="0"/>
              <w:spacing w:before="0" w:after="283"/>
              <w:jc w:val="left"/>
              <w:rPr/>
            </w:pPr>
            <w:r>
              <w:rPr/>
              <w:t>) </w:t>
            </w:r>
          </w:p>
        </w:tc>
      </w:tr>
      <w:tr>
        <w:trPr/>
        <w:tc>
          <w:tcPr>
            <w:tcW w:w="578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4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(11,484</w:t>
            </w:r>
          </w:p>
        </w:tc>
        <w:tc>
          <w:tcPr>
            <w:tcW w:w="158"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(3,105</w:t>
            </w:r>
          </w:p>
        </w:tc>
        <w:tc>
          <w:tcPr>
            <w:tcW w:w="163" w:type="dxa"/>
            <w:tcBorders/>
            <w:vAlign w:val="bottom"/>
          </w:tcPr>
          <w:p>
            <w:pPr>
              <w:pStyle w:val="TableContents"/>
              <w:bidi w:val="0"/>
              <w:spacing w:before="0" w:after="283"/>
              <w:jc w:val="left"/>
              <w:rPr/>
            </w:pPr>
            <w:r>
              <w:rPr/>
              <w:t>) </w:t>
            </w:r>
          </w:p>
        </w:tc>
      </w:tr>
      <w:tr>
        <w:trPr/>
        <w:tc>
          <w:tcPr>
            <w:tcW w:w="57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4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115,678</w:t>
            </w:r>
          </w:p>
        </w:tc>
        <w:tc>
          <w:tcPr>
            <w:tcW w:w="158"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53,592</w:t>
            </w:r>
          </w:p>
        </w:tc>
        <w:tc>
          <w:tcPr>
            <w:tcW w:w="163" w:type="dxa"/>
            <w:tcBorders/>
            <w:shd w:fill="CCEEFF" w:val="clear"/>
            <w:vAlign w:val="bottom"/>
          </w:tcPr>
          <w:p>
            <w:pPr>
              <w:pStyle w:val="TableContents"/>
              <w:bidi w:val="0"/>
              <w:spacing w:before="0" w:after="283"/>
              <w:jc w:val="left"/>
              <w:rPr/>
            </w:pPr>
            <w:r>
              <w:rPr/>
              <w:t> </w:t>
            </w:r>
          </w:p>
        </w:tc>
      </w:tr>
      <w:tr>
        <w:trPr/>
        <w:tc>
          <w:tcPr>
            <w:tcW w:w="5783"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783"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cash, cash equivalents and restricted cash</w:t>
            </w:r>
          </w:p>
        </w:tc>
        <w:tc>
          <w:tcPr>
            <w:tcW w:w="34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68,669</w:t>
            </w:r>
          </w:p>
        </w:tc>
        <w:tc>
          <w:tcPr>
            <w:tcW w:w="158"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81" w:type="dxa"/>
            <w:tcBorders/>
            <w:vAlign w:val="bottom"/>
          </w:tcPr>
          <w:p>
            <w:pPr>
              <w:pStyle w:val="TableContents"/>
              <w:bidi w:val="0"/>
              <w:spacing w:before="0" w:after="283"/>
              <w:jc w:val="right"/>
              <w:rPr/>
            </w:pPr>
            <w:r>
              <w:rPr/>
              <w:t>8,996</w:t>
            </w:r>
          </w:p>
        </w:tc>
        <w:tc>
          <w:tcPr>
            <w:tcW w:w="163" w:type="dxa"/>
            <w:tcBorders/>
            <w:vAlign w:val="bottom"/>
          </w:tcPr>
          <w:p>
            <w:pPr>
              <w:pStyle w:val="TableContents"/>
              <w:bidi w:val="0"/>
              <w:spacing w:before="0" w:after="283"/>
              <w:jc w:val="left"/>
              <w:rPr/>
            </w:pPr>
            <w:r>
              <w:rPr/>
              <w:t> </w:t>
            </w:r>
          </w:p>
        </w:tc>
      </w:tr>
      <w:tr>
        <w:trPr/>
        <w:tc>
          <w:tcPr>
            <w:tcW w:w="5783"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8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818"/>
        <w:gridCol w:w="343"/>
        <w:gridCol w:w="148"/>
        <w:gridCol w:w="777"/>
        <w:gridCol w:w="157"/>
        <w:gridCol w:w="343"/>
        <w:gridCol w:w="148"/>
        <w:gridCol w:w="777"/>
        <w:gridCol w:w="163"/>
      </w:tblGrid>
      <w:tr>
        <w:trPr/>
        <w:tc>
          <w:tcPr>
            <w:tcW w:w="5818"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818"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2350"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Year Ended</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April 30,</w:t>
            </w:r>
          </w:p>
        </w:tc>
        <w:tc>
          <w:tcPr>
            <w:tcW w:w="163" w:type="dxa"/>
            <w:tcBorders/>
            <w:vAlign w:val="bottom"/>
          </w:tcPr>
          <w:p>
            <w:pPr>
              <w:pStyle w:val="TableContents"/>
              <w:bidi w:val="0"/>
              <w:spacing w:before="0" w:after="283"/>
              <w:jc w:val="left"/>
              <w:rPr/>
            </w:pPr>
            <w:r>
              <w:rPr/>
              <w:t> </w:t>
            </w:r>
          </w:p>
        </w:tc>
      </w:tr>
      <w:tr>
        <w:trPr/>
        <w:tc>
          <w:tcPr>
            <w:tcW w:w="5818" w:type="dxa"/>
            <w:tcBorders/>
            <w:vAlign w:val="bottom"/>
          </w:tcPr>
          <w:p>
            <w:pPr>
              <w:pStyle w:val="TableContents"/>
              <w:bidi w:val="0"/>
              <w:spacing w:before="0" w:after="283"/>
              <w:jc w:val="left"/>
              <w:rPr>
                <w:b/>
              </w:rPr>
            </w:pPr>
            <w:r>
              <w:rPr>
                <w:b/>
              </w:rPr>
              <w:t>(in thousands)</w:t>
            </w:r>
          </w:p>
        </w:tc>
        <w:tc>
          <w:tcPr>
            <w:tcW w:w="343"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7"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3" w:type="dxa"/>
            <w:tcBorders/>
            <w:vAlign w:val="bottom"/>
          </w:tcPr>
          <w:p>
            <w:pPr>
              <w:pStyle w:val="TableContents"/>
              <w:bidi w:val="0"/>
              <w:spacing w:before="0" w:after="283"/>
              <w:jc w:val="left"/>
              <w:rPr/>
            </w:pPr>
            <w:r>
              <w:rPr/>
              <w:t> </w:t>
            </w:r>
          </w:p>
        </w:tc>
      </w:tr>
      <w:tr>
        <w:trPr/>
        <w:tc>
          <w:tcPr>
            <w:tcW w:w="58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4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(72,235</w:t>
            </w:r>
          </w:p>
        </w:tc>
        <w:tc>
          <w:tcPr>
            <w:tcW w:w="157"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(69,642</w:t>
            </w:r>
          </w:p>
        </w:tc>
        <w:tc>
          <w:tcPr>
            <w:tcW w:w="163" w:type="dxa"/>
            <w:tcBorders/>
            <w:shd w:fill="CCEEFF" w:val="clear"/>
            <w:vAlign w:val="bottom"/>
          </w:tcPr>
          <w:p>
            <w:pPr>
              <w:pStyle w:val="TableContents"/>
              <w:bidi w:val="0"/>
              <w:spacing w:before="0" w:after="283"/>
              <w:jc w:val="left"/>
              <w:rPr/>
            </w:pPr>
            <w:r>
              <w:rPr/>
              <w:t>) </w:t>
            </w:r>
          </w:p>
        </w:tc>
      </w:tr>
      <w:tr>
        <w:trPr/>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4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(12,229</w:t>
            </w:r>
          </w:p>
        </w:tc>
        <w:tc>
          <w:tcPr>
            <w:tcW w:w="157"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(15,461</w:t>
            </w:r>
          </w:p>
        </w:tc>
        <w:tc>
          <w:tcPr>
            <w:tcW w:w="163" w:type="dxa"/>
            <w:tcBorders/>
            <w:vAlign w:val="bottom"/>
          </w:tcPr>
          <w:p>
            <w:pPr>
              <w:pStyle w:val="TableContents"/>
              <w:bidi w:val="0"/>
              <w:spacing w:before="0" w:after="283"/>
              <w:jc w:val="left"/>
              <w:rPr/>
            </w:pPr>
            <w:r>
              <w:rPr/>
              <w:t>) </w:t>
            </w:r>
          </w:p>
        </w:tc>
      </w:tr>
      <w:tr>
        <w:trPr/>
        <w:tc>
          <w:tcPr>
            <w:tcW w:w="58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4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77,725</w:t>
            </w:r>
          </w:p>
        </w:tc>
        <w:tc>
          <w:tcPr>
            <w:tcW w:w="157"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96,106</w:t>
            </w:r>
          </w:p>
        </w:tc>
        <w:tc>
          <w:tcPr>
            <w:tcW w:w="163" w:type="dxa"/>
            <w:tcBorders/>
            <w:shd w:fill="CCEEFF" w:val="clear"/>
            <w:vAlign w:val="bottom"/>
          </w:tcPr>
          <w:p>
            <w:pPr>
              <w:pStyle w:val="TableContents"/>
              <w:bidi w:val="0"/>
              <w:spacing w:before="0" w:after="283"/>
              <w:jc w:val="left"/>
              <w:rPr/>
            </w:pPr>
            <w:r>
              <w:rPr/>
              <w:t> </w:t>
            </w:r>
          </w:p>
        </w:tc>
      </w:tr>
      <w:tr>
        <w:trPr/>
        <w:tc>
          <w:tcPr>
            <w:tcW w:w="5818"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cash, cash equivalents and restricted cash</w:t>
            </w:r>
          </w:p>
        </w:tc>
        <w:tc>
          <w:tcPr>
            <w:tcW w:w="34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(6,739</w:t>
            </w:r>
          </w:p>
        </w:tc>
        <w:tc>
          <w:tcPr>
            <w:tcW w:w="157"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11,003</w:t>
            </w:r>
          </w:p>
        </w:tc>
        <w:tc>
          <w:tcPr>
            <w:tcW w:w="163" w:type="dxa"/>
            <w:tcBorders/>
            <w:vAlign w:val="bottom"/>
          </w:tcPr>
          <w:p>
            <w:pPr>
              <w:pStyle w:val="TableContents"/>
              <w:bidi w:val="0"/>
              <w:spacing w:before="0" w:after="283"/>
              <w:jc w:val="left"/>
              <w:rPr/>
            </w:pPr>
            <w:r>
              <w:rPr/>
              <w:t> </w:t>
            </w:r>
          </w:p>
        </w:tc>
      </w:tr>
      <w:tr>
        <w:trPr/>
        <w:tc>
          <w:tcPr>
            <w:tcW w:w="5818"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i/>
          <w:sz w:val="20"/>
        </w:rPr>
      </w:pPr>
      <w:r>
        <w:rPr>
          <w:rFonts w:ascii="Times New Roman" w:hAnsi="Times New Roman"/>
          <w:i/>
          <w:sz w:val="20"/>
        </w:rPr>
        <w:t xml:space="preserve">Cash Flows from Operating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October 31, 2024, cash used in operating activities was $35.5 million, which primarily consisted of a net loss of $40.9 million and a net decrease of $2.9 million in operating assets and liabilities, offset by a net increase of $8.3 million in non-cash charges. The non-cash charges primarily consisted of depreciation and amortization of $4.2 million, stock-based compensation expense of $1.5 million, interest paid-in-kind of $0.5 million related to the Term Loan, loss on disposal of property and equipment of $1.0 million, non-cash lease expense of $0.2 million and amortization of debt discounts and issuance costs of $0.9 million. The net change in our operating assets and liabilities consisted of changes in accrued liabilities of $1.8 million driven by increases in accrued compensation due to increased headcount, prepaid expenses and other current assets of $0.2 million related to prepayments for commercial materials and software licenses and fees, and operating lease liabilities of $0.1 million, partially offset by changes in account receivables of $3.4 million, disposable medical equipment supplies of $1.0 million and accounts payable of $0.5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October 31, 2023, cash used in operating activities was $41.5 million, which primarily consisted of a net loss of $50.2 million, offset by a net increase of $0.2 million in operating assets and liabilities and $8.5 million in non-cash charges. The non-cash charges primarily consisted of depreciation and amortization of $4.7 million, stock-based compensation expense of $0.7 million, interest paid-in-kind of $0.6 million related to the Term Loan and the Term Loan 2020, loss on disposal of property and equipment of $0.8 million, non-cash loss on extinguishment of debt related to the Term Loan 2020 of $0.9 million, non-cash lease expense of $0.6 million and amortization of debt discounts and issuance costs of $0.2 million. The net change in our operating assets and liabilities consisted of changes in accounts payable of $4.2 million and prepaid expenses and other current assets of $0.3 million related to prepayments for commercial materials and software licenses and fees, partially offset by changes in disposable medical equipment supplies of $2.3 million, accrued liabilities of $1.3 million driven by increases in accrued compensation due to increased headcount and operating lease liabilities of $0.7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April 30, 2024, cash used in operating activities was $72.2 million, which primarily consisted of a net loss of $94.1 million, offset by a net increase of $4.4 million in operating assets and liabilities and $17.5 million in non-cash charges. The non-cash charges primarily consisted of depreciation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amortization of $11.6 million, stock-based compensation expense of $1.5 million, interest paid-in-kind of $1.1 million related to the Term Loan and the Term Loan 2020, loss on disposal of property and equipment of $1.1 million, non-cash loss on extinguishment of debt related to the Term Loan 2020 of $0.9 million, non-cash lease expense of $0.7 million and amortization of debt discounts and issuance costs of $0.6 million. The net change in our operating assets and liabilities consisted of changes in accounts payable of $7.4 million, accrued liabilities of $0.4 million driven by increases in accrued compensation due to increased headcount, and prepaid expenses and other current assets of $0.3 million related to prepayments for commercial materials and software licenses and fees, partially offset by changes in account receivables of $2.0 million, disposable medical equipment supplies of $1.2 million, and operating lease liabilities of $0.5 million. </w:t>
      </w:r>
    </w:p>
    <w:p>
      <w:pPr>
        <w:pStyle w:val="TextBody"/>
        <w:bidi w:val="0"/>
        <w:spacing w:before="200" w:after="0"/>
        <w:jc w:val="left"/>
        <w:rPr>
          <w:rFonts w:ascii="Times New Roman" w:hAnsi="Times New Roman"/>
          <w:sz w:val="20"/>
        </w:rPr>
      </w:pPr>
      <w:r>
        <w:rPr>
          <w:rFonts w:ascii="Times New Roman" w:hAnsi="Times New Roman"/>
          <w:sz w:val="20"/>
        </w:rPr>
        <w:t xml:space="preserve">For the fiscal year ended April 30, 2023, cash used in operating activities was $69.6 million, which primarily consisted of a net loss of $84.2 million offset by a net increase of $1.3 million in operating assets and liabilities, and $13.3 million in non-cash charges. The non-cash charges primarily consisted of interest paid-in-kind of $5.2 million related to the Term Loan 2020, $4.8 million of depreciation and amortization expense, stock-based compensation expense of $1.2 million, non-cash lease expense of $1.1 million, loss on disposal of property and equipment of $0.6 million, amortization of debt discounts and issuance costs of $0.4 million. The net increase in our operating assets and liabilities was primarily due to changes in accounts payable of $2.1 million and accrued liabilities of $1.3 million largely attributable to an increase in commissions and bonuses payable, partially offset by changes in operating lease liabilities of $1.1 million attributable to operating lease repayments, disposable medical equipment supplies of $0.7 million, and prepaid expenses and other current assets of $0.3 million. </w:t>
      </w:r>
    </w:p>
    <w:p>
      <w:pPr>
        <w:pStyle w:val="TextBody"/>
        <w:bidi w:val="0"/>
        <w:spacing w:before="200" w:after="0"/>
        <w:jc w:val="left"/>
        <w:rPr>
          <w:rFonts w:ascii="Times New Roman" w:hAnsi="Times New Roman"/>
          <w:i/>
          <w:sz w:val="20"/>
        </w:rPr>
      </w:pPr>
      <w:r>
        <w:rPr>
          <w:rFonts w:ascii="Times New Roman" w:hAnsi="Times New Roman"/>
          <w:i/>
          <w:sz w:val="20"/>
        </w:rPr>
        <w:t xml:space="preserve">Cash Flows from Investing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October 31, 2024, cash used in investing activities was $11.5 million, which primarily consisted of purchases of property and equipment, such as medical rental equipment, computer hardware, test equipment and other research and development activities, and leasehold improvements.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October 31, 2023, cash used in investing activities was $3.1 million, which primarily consisted of $3.2 million of cash used for purchases of property and equipment, such as medical rental equipment, computer hardware, test equipment and other research and development activities, leasehold improvements, and $0.1 million of cash used for deposits for medical rental equipment, partially offset by $0.2 million of cash received from refund of deposits for medical rental equipment.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April 30, 2024, cash used in investing activities was $12.2 million, which primarily consisted of $12.2 million cash used for purchases of property and equipment such as medical rental equipment, computer hardware, test equipment and other research and development activities, and leasehold improvements.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April 30, 2023, cash used in investing activities was $15.5 million, which primarily consisted of $13.9 million of cash used for purchases of property and equipment such as medical rental equipment, computer hardware, test equipment and other research and development activities, leasehold improvements, and $1.6 million of cash used for deposits for medical rental equipment. </w:t>
      </w:r>
    </w:p>
    <w:p>
      <w:pPr>
        <w:pStyle w:val="TextBody"/>
        <w:bidi w:val="0"/>
        <w:spacing w:before="240" w:after="0"/>
        <w:jc w:val="left"/>
        <w:rPr>
          <w:rFonts w:ascii="Times New Roman" w:hAnsi="Times New Roman"/>
          <w:i/>
          <w:sz w:val="20"/>
        </w:rPr>
      </w:pPr>
      <w:r>
        <w:rPr>
          <w:rFonts w:ascii="Times New Roman" w:hAnsi="Times New Roman"/>
          <w:i/>
          <w:sz w:val="20"/>
        </w:rPr>
        <w:t xml:space="preserve">Cash Flows from Financing Activities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October 31, 2024, cash provided by financing activities was $115.7 million, which primarily consisted of $103.4 million in proceeds from the issuance of redeemable preferred stock and $17.1 million in proceeds from the issuance of stock to non-controlling interest. The increase in cash provided by financing activities was offset by payments of equity issuance costs of $3.2 million and deemed dividend payments of $1.6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October 31, 2023, cash provided by financing activities was $53.6 million, which primarily consisted of $50.0 million in proceeds from the issuance of redeemable preferred stock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$45.0 million in proceeds from the initial draw on the Term Loan in September 2023. The increase in cash provided by financing activities was offset by re-payments of long-term debt of $39.1 million, debt issuance costs of $1.9 million and deemed dividend payments of $0.4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April 30, 2024, cash provided by financing activities was $77.7 million, which primarily consisted of $75.0 million in proceeds from the issuance of redeemable preferred stock and $45.0 million in proceeds from the initial draw on the Term Loan in September 2023. The increase in cash provided by financing activities was offset by re-payments of long-term debt of $39.1 million, debt issuance costs of $2.4 million and deemed dividend payments of $0.8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April 30, 2023, cash provided by financing activities was $96.1 million, which primarily consisted of proceeds from the issuance of redeemable preferred stock of $102.1 million, which were partially offset by re-payments of long-term debt of $5.3 million and deemed dividend payments of $0.7 million. </w:t>
      </w:r>
    </w:p>
    <w:p>
      <w:pPr>
        <w:pStyle w:val="TextBody"/>
        <w:bidi w:val="0"/>
        <w:spacing w:before="24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2024, we had two irrevocable standby letters of credit issued by Silicon Valley Bank, a division of First Citizens Bank, that total $0.1 million related to our office leases and Cash Pledge Agreement of $0.2 million as collateral for the Company credit card program. We did not have any other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agreements involving assets. </w:t>
      </w:r>
    </w:p>
    <w:p>
      <w:pPr>
        <w:pStyle w:val="TextBody"/>
        <w:bidi w:val="0"/>
        <w:spacing w:before="240" w:after="0"/>
        <w:jc w:val="left"/>
        <w:rPr>
          <w:rFonts w:ascii="Times New Roman" w:hAnsi="Times New Roman"/>
          <w:b/>
          <w:sz w:val="20"/>
        </w:rPr>
      </w:pPr>
      <w:r>
        <w:rPr>
          <w:rFonts w:ascii="Times New Roman" w:hAnsi="Times New Roman"/>
          <w:b/>
          <w:sz w:val="20"/>
        </w:rPr>
        <w:t xml:space="preserve">Critical Accounting Policies and Significant Management Estimates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are based on our consolidated financial statements, which have been prepared in accordance with United States generally accepted accounting principles. The preparation of our consolidated financial statements and related disclosures requires us to make estimates and assumptions that affect the reported amounts of assets, liabilities, costs and expenses and related disclosures. We base our estimates on historical experience, known trends and events and various other assumptions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could have a material impact on the Companys business, financial condition, results of operations and prospects. While our significant accounting policies are described in more detail in Note 2 of our consolidated financial statements included elsewhere in this prospectus,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240" w:after="0"/>
        <w:jc w:val="left"/>
        <w:rPr>
          <w:rFonts w:ascii="Times New Roman" w:hAnsi="Times New Roman"/>
          <w:sz w:val="20"/>
        </w:rPr>
      </w:pPr>
      <w:r>
        <w:rPr>
          <w:rFonts w:ascii="Times New Roman" w:hAnsi="Times New Roman"/>
          <w:sz w:val="20"/>
        </w:rPr>
        <w:t xml:space="preserve">We generate revenue from the leases of our ASSURE WCD, which are classified as operating leases at lease commencement in accordance with Accounting Standards Codification Topic 842, </w:t>
      </w:r>
      <w:r>
        <w:rPr>
          <w:rFonts w:ascii="Times New Roman" w:hAnsi="Times New Roman"/>
          <w:i/>
          <w:sz w:val="20"/>
        </w:rPr>
        <w:t xml:space="preserve">Leases </w:t>
      </w:r>
      <w:r>
        <w:rPr>
          <w:rFonts w:ascii="Times New Roman" w:hAnsi="Times New Roman"/>
          <w:sz w:val="20"/>
        </w:rPr>
        <w:t xml:space="preserve">(ASC Topic 842). Under ASC Topic 842, we recognize lease revenue for fixed lease payments on operating leases on a straight-line basis over the contractual lease term, when collectability of the lease payments is deemed to be probable. Variable lease payments are recognized into revenue in the period in which the changes in facts and circumstances on which those payments are based occur. The lease term begins on the date the device is made available to the patient. </w:t>
      </w:r>
    </w:p>
    <w:p>
      <w:pPr>
        <w:pStyle w:val="TextBody"/>
        <w:bidi w:val="0"/>
        <w:spacing w:before="240" w:after="0"/>
        <w:jc w:val="left"/>
        <w:rPr>
          <w:rFonts w:ascii="Times New Roman" w:hAnsi="Times New Roman"/>
          <w:sz w:val="20"/>
        </w:rPr>
      </w:pPr>
      <w:r>
        <w:rPr>
          <w:rFonts w:ascii="Times New Roman" w:hAnsi="Times New Roman"/>
          <w:sz w:val="20"/>
        </w:rPr>
        <w:t xml:space="preserve">If collectability of the lease payments is not probable, then lease income is limited to the lesser of the income that would have been recognized if collectability was probable, or the lease payments collected.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Collectability of all lease payments, which includes amounts reimbursed by third-party payors or amounts covered by the patient, is assessed for each type of contract upon lease commencement and is subject to subsequent reassessment throughout the lease term, as necessary.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the practical expedient provided under ASC Topic 842 to combine the lease of our ASSURE WCD with the non-lease components of our Cardiac Recovery System platform, which include the digital healthcare platform. Our ASSURE WCD is the predominant component and, as a result, we account for the combined components under ASC Topic 842. </w:t>
      </w:r>
    </w:p>
    <w:p>
      <w:pPr>
        <w:pStyle w:val="TextBody"/>
        <w:bidi w:val="0"/>
        <w:spacing w:before="240" w:after="0"/>
        <w:jc w:val="left"/>
        <w:rPr>
          <w:rFonts w:ascii="Times New Roman" w:hAnsi="Times New Roman"/>
          <w:sz w:val="20"/>
        </w:rPr>
      </w:pPr>
      <w:r>
        <w:rPr>
          <w:rFonts w:ascii="Times New Roman" w:hAnsi="Times New Roman"/>
          <w:sz w:val="20"/>
        </w:rPr>
        <w:t xml:space="preserve">Due to the nature of the industry and the reimbursement environment in which we operate, we evaluate the need to record a general reserve under Accounting Standards Codification Topic 450, </w:t>
      </w:r>
      <w:r>
        <w:rPr>
          <w:rFonts w:ascii="Times New Roman" w:hAnsi="Times New Roman"/>
          <w:i/>
          <w:sz w:val="20"/>
        </w:rPr>
        <w:t>Contingencies</w:t>
      </w:r>
      <w:r>
        <w:rPr>
          <w:rFonts w:ascii="Times New Roman" w:hAnsi="Times New Roman"/>
          <w:sz w:val="20"/>
        </w:rPr>
        <w:t xml:space="preserve">, 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consist of medical rental equipment, test equipment, computer software and equipment, and leasehold improvements. Medical rental equipment used in the delivery of our ASSURE WCD system consists of therapy cables, batteries, battery chargers, assistants, and WCD monitors, all of which have different useful lives. Upon completion of use by a patient, medical rental equipment is returned to our third-party manufacturing and supply partner and inspected, tested and recertified for use by another patient. We are exposed to risks of patients failing to return the medical rental equipment on time or at all, as well as risks that the medical rental equipment may be severely damaged upon return and require extensive repair. We record reserves for damaged components that are beyond repair and return failures. The charges recorded were $1.1 million and $0.6 million for the years ended April 30, 2024, and 2023, respectively and $1.0 million and $0.8 million for the six months ended October 31, 2024 and 2023, respectively. When medical rental equipment is not in use by patients, it resides with our third-party manufacturing and supply partner, at other third-party warehouses or with the Companys territory managers. Physical counts of medical rental equipment components are conducted at least annually at our third-party manufacturing and supply partner locations and at least quarterly at all other locations.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stated at cost less accumulated depreciation. Depreciation of medical rental equipment commences at the date when it becomes available for service, which represents the date that the asset is ready for intended use by the patients and continues through the estimated useful life of the asset. Expenditures for major renewals and betterments that extend the useful lives of property and equipment are capitalized. Expenditures for maintenance and repairs, including planned major maintenance activities,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depreciated using the straight-line method based on the following estimated useful lives: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 xml:space="preserve">Asset Classification </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 xml:space="preserve">Estimated Useful Lives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Computer software and equipment</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3.0 years</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Test equipment</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5.0 years</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Lesser of useful life or lease-term</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Medical rental equipment</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2.0 - 8.0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assets are retired, lost, or otherwise disposed of, the cost and related accumulated depreciation are removed from the accounts, and any resulting gain or loss is recognized in the consolidated statements of operations and comprehensive loss for the appropriate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long-lived assets consist of property and equipment, which includes leasehold improvements and right-of-use assets. The Company does not have long-lived assets held for sale. Long-lived assets are reviewed for potential impairment at such time that events or changes in circumstances indicate that the carrying amount of an asset may not be recoverable. When evaluating long-lived assets for potential impairment, the Company will first compare the carrying amount of the assets to estimated future net undiscounted cash flows expected to result from the use of the assets, including cash flows from disposition. If the estimated future cash flows are less than the carrying amounts of the assets, an impairment loss is recognized and measured based upon the excess of the carrying value of the asset over its estimated fair value. There were no impairments of long-lived assets during the fiscal years ended April 30, 2024 and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Valuation of Equity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this offering, the fair value of the common shares underlying our stock-based awards was determined by the Board of Directors. The valuations of our common shares prior to the completion of this offering were determined in accordance with the guidelines outlined in the American Institute of Certified Public Accountants Practice Aid, </w:t>
      </w:r>
      <w:r>
        <w:rPr>
          <w:rFonts w:ascii="Times New Roman" w:hAnsi="Times New Roman"/>
          <w:i/>
          <w:sz w:val="20"/>
        </w:rPr>
        <w:t>Valuation of Privately-Held-Company Equity Securities Issued as Compensation</w:t>
      </w:r>
      <w:r>
        <w:rPr>
          <w:rFonts w:ascii="Times New Roman" w:hAnsi="Times New Roman"/>
          <w:sz w:val="20"/>
        </w:rPr>
        <w:t xml:space="preserve">. In the absence of a public trading market, the Board of Directors, with input from management, exercised significant judgment and considered numerous objective and subjective factors to determine the fair value of our common shares as of the date of each option grant, including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stage of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history and the timing of the introduction of new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actual operating results and performance and financial condition, including our levels of available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business conditions and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rights, preferences, and privileges of our redeemable preferred stock relative to those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and 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of the medical device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price performance, volatility, and valuation multiples of comparable publicly-traded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and timing of achieving a liquidity event, such as an initial public offering, given prevailing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redeemable preferred stock sold by us to third-party investors in arms-length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recent stock transactions in shares of our preferred and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relevant mergers and acquisitions in targeted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marketability of our common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contemporaneous valuations performed by third-party valuation firms.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determined that the Probability-Weighted Expected Returns Method (PWERM) approach is the most appropriate method for estimating our enterprise value. This method considers various exit scenarios including an initial public offering (the IPO Scenario), potential merger or acquisition (the M&amp;A Scenario), or staying private, and assigns a probability weight to each scenario. Using the PWERM, the enterprise value under each potential exit scenario and the timing of each scenario were weighted based on our estimated probability of occurrence for such scenario. Our equity values under the IPO Scenario and M&amp;A Scenario were each estimated using the market approach based on the valuation of comparable public companies. We then allocated the equity value to our outstanding common stock based on the estimated timing, valuation and probability of each scenario. The stay private scenario estimated our equity value using an income approach based on our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scenario-specific values were probability-weighted and discounted to present value to arrive at an overall estimated equity value. After the equity value was determined, we applied a discount for lack of marketability to reflect the lack of marketability associated with our common stock, which is not traded on public exchanges. For financial reporting purposes, we considered the amount of time between the valuation date and the grant date of any stock options to determine whether to use the latest common stock valuation or a straight-line interpolation between the latest valuation date and the grant date. This determination included an evaluation of whether any significant events or changes had occurred between the previous valuation date and the grant date that could materially change our equity value determined at the latest valuation date. </w:t>
      </w:r>
    </w:p>
    <w:p>
      <w:pPr>
        <w:pStyle w:val="TextBody"/>
        <w:bidi w:val="0"/>
        <w:spacing w:before="240" w:after="0"/>
        <w:jc w:val="left"/>
        <w:rPr>
          <w:rFonts w:ascii="Times New Roman" w:hAnsi="Times New Roman"/>
          <w:sz w:val="20"/>
        </w:rPr>
      </w:pPr>
      <w:r>
        <w:rPr>
          <w:rFonts w:ascii="Times New Roman" w:hAnsi="Times New Roman"/>
          <w:sz w:val="20"/>
        </w:rPr>
        <w:t xml:space="preserve">For valuations after the completion of this offering, the fair value of each share of underlying common stock will be based on the closing price of our common stock as reported on the date of grant on the primary stock exchange on which our common stock is traded. </w:t>
      </w:r>
    </w:p>
    <w:p>
      <w:pPr>
        <w:pStyle w:val="TextBody"/>
        <w:bidi w:val="0"/>
        <w:spacing w:before="20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200" w:after="0"/>
        <w:jc w:val="left"/>
        <w:rPr>
          <w:rFonts w:ascii="Times New Roman" w:hAnsi="Times New Roman"/>
          <w:sz w:val="20"/>
        </w:rPr>
      </w:pPr>
      <w:r>
        <w:rPr>
          <w:rFonts w:ascii="Times New Roman" w:hAnsi="Times New Roman"/>
          <w:sz w:val="20"/>
        </w:rPr>
        <w:t xml:space="preserve">Stock-based compensation expense related to equity incentive units of West Affum Holdings, L.P., which is allocated to us, is measured at the grant date based on the fair value of the award and is recognized as stock-based compensation expense based on employees continued services. The Company historically used either the Black-Scholes option pricing model or the probability-weighted expected return method (PWERM) to determine the fair value of incentive units. Forfeitures are recognized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option pricing model requires the use of subjective assumptions to determine the fair value of stock-based awards. These assumptions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Fair value of common shares. </w:t>
            </w:r>
            <w:r>
              <w:rPr>
                <w:rFonts w:ascii="Times New Roman" w:hAnsi="Times New Roman"/>
                <w:sz w:val="20"/>
              </w:rPr>
              <w:t xml:space="preserve">The fair value of common units is determined by the Board of Directors as of the date of award grant, with input from management, considering contemporaneous independent third-party valuations of common units, and the Board of Directors assessment of additional objective and subjective factors that it believed were relevant and which may have changed from the date of the most recent valuation through the date of the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Expected term. </w:t>
            </w:r>
            <w:r>
              <w:rPr>
                <w:rFonts w:ascii="Times New Roman" w:hAnsi="Times New Roman"/>
                <w:sz w:val="20"/>
              </w:rPr>
              <w:t xml:space="preserve">Expected term represents the period that stock-based awards are expected to be outstanding. The expected term for incentive units is the expected time to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Expected volatility. </w:t>
            </w:r>
            <w:r>
              <w:rPr>
                <w:rFonts w:ascii="Times New Roman" w:hAnsi="Times New Roman"/>
                <w:sz w:val="20"/>
              </w:rPr>
              <w:t xml:space="preserve">Since we have been a privately held company and do not have any trading history for our common units, the expected volatility is estimated based on the average volatility for comparable publicly traded medical technology companies over a period equal to the expected term. The comparable companies were chosen based on their similar size, stage in the life cycle or area of specialty. We will continue to apply this process until a sufficient amount of historical information regarding the volatility of our own share price becomes available.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Expected dividend. </w:t>
            </w:r>
            <w:r>
              <w:rPr>
                <w:rFonts w:ascii="Times New Roman" w:hAnsi="Times New Roman"/>
                <w:sz w:val="20"/>
              </w:rPr>
              <w:t xml:space="preserve">We have never paid dividends on our common shares and have no plans to pay dividends on our common units. Therefore, we used an expected dividend yield of zero.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Discount for lack of marketability. </w:t>
            </w:r>
            <w:r>
              <w:rPr>
                <w:rFonts w:ascii="Times New Roman" w:hAnsi="Times New Roman"/>
                <w:sz w:val="20"/>
              </w:rPr>
              <w:t xml:space="preserve">We applied a discount for lack of marketability (DLOM) based on two widely accepted models: the 2012 Finnerty Model and the Asian Put. The DLOM was assessed by applying a low range based on a time-to-liquidity assumption of 0.50 years and a volatility assumption of 70.0%, and a high range based on a time-to-liquidity assumption of 1.50 years and a volatility assumption of 90.0%. After evaluating the results from both models, we selected a DLOM range and selected a final DLOM at the low end of the selected range.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PWERM approach is the most appropriate method for estimating our enterprise value. This method considers various exit scenarios including an initial public offering (the IPO Scenario), potential merger or acquisition (the M&amp;A Scenario), or staying private, and assigns a probability weight to each scenario. Using the PWERM, the enterprise value under each potential exit scenario and the timing of each scenario were weighted based on our estimated probability of occurrence for such scenario. Our equity values under the IPO Scenario and M&amp;A Scenario were each estimated using the market approach based on the valuation of comparable public companies. The Company then allocated the equity value to our outstanding common stock based on the estimated timing, valuation and probability of each scenario. The stay private scenario estimated our equity value using an income approach based on our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scenario-specific values were probability-weighted and discounted to present value to arrive at an overall estimated equity value. After the equity value was determined, we applied a discount for lack of marketability to reflect the lack of marketability associated with our common stock, which is not traded on public exchanges. For financial reporting purposes, we considered the amount of time between the valuation date and the grant date of any stock options to determine whether to use the latest common stock valuation or a straight- line interpolation between the latest valuation date and the grant date. This determination included an evaluation of whether any significant events or changes had occurred between the previous valuation date and the grant date that could materially change our equity value determined at the latest valuation date. </w:t>
      </w:r>
    </w:p>
    <w:p>
      <w:pPr>
        <w:pStyle w:val="TextBody"/>
        <w:bidi w:val="0"/>
        <w:spacing w:before="24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account for income taxes using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representing future deductible amounts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As a result of the valuation allowances, our net deferred tax position has historically been immaterial. </w:t>
      </w:r>
    </w:p>
    <w:p>
      <w:pPr>
        <w:pStyle w:val="TextBody"/>
        <w:bidi w:val="0"/>
        <w:spacing w:before="240" w:after="0"/>
        <w:jc w:val="left"/>
        <w:rPr>
          <w:rFonts w:ascii="Times New Roman" w:hAnsi="Times New Roman"/>
          <w:sz w:val="20"/>
        </w:rPr>
      </w:pPr>
      <w:r>
        <w:rPr>
          <w:rFonts w:ascii="Times New Roman" w:hAnsi="Times New Roman"/>
          <w:sz w:val="20"/>
        </w:rPr>
        <w:t xml:space="preserve">We recognize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 </w:t>
      </w:r>
    </w:p>
    <w:p>
      <w:pPr>
        <w:pStyle w:val="TextBody"/>
        <w:bidi w:val="0"/>
        <w:spacing w:before="24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market risk in the ordinary course of our business. Market risk represents the risk of loss that may impact our financial position due to adverse changes in financial market prices and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240" w:after="0"/>
        <w:jc w:val="left"/>
        <w:rPr>
          <w:rFonts w:ascii="Times New Roman" w:hAnsi="Times New Roman"/>
          <w:sz w:val="20"/>
        </w:rPr>
      </w:pPr>
      <w:r>
        <w:rPr>
          <w:rFonts w:ascii="Times New Roman" w:hAnsi="Times New Roman"/>
          <w:sz w:val="20"/>
        </w:rPr>
        <w:t xml:space="preserve">We had cash, cash equivalents and restricted cash balances of $77.3 million as of October 31, 2024. We had cash, cash equivalents and restricted cash balances of $8.6 million and $15.3 million as of April 30, 2024 and 2023, respectively. Cash consists of deposits with financial institutions. Interest income is sensitive to changes in the general level of interest rates. However, our exposure to interest rate risk as a result of our cash deposits with financial institutions is not significant, and a hypothetical 10% change in interest rates during any of the periods presented would not have had a material impact on our consolidated financial statements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also are subject to interest rate risk under the Term Loan. All amounts outstanding under the Term Loan accrue interest at an annual rate equal to the greater of (a) forward-looking one-month term SOFR as posted by the CME group and (b) 4.75% per annum, plus an applicable margin of 7.25% of which up to 2.00% may be paid-in-kind through March of 2025. However, our exposure to interest rate risk is not significant, and a hypothetical 10% change in interest rates during any of the periods presented would not have had a material impact on our consolidated financial statements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engage in nor do we plan to enter into investments for trading or speculative purposes.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credit risk from cash balances we maintain that are in excess of federal depository insurance limits of $250,000 and certain cash balances in accounts located in the Cayman Islands and Ireland which are not insured. As of October 31, 2024, we maintained cash, cash equivalents and restricted cash balances of $77.3 million, $0.3 million of which was in accounts located in the Cayman Islands. As of April 30, 2024, we maintained cash, cash equivalents and restricted cash balances of $8.6 million, $0.3 million of which was in accounts located in the Cayman Islands. As of April 30, 2023, we maintained cash, cash equivalents and restricted cash balances of $15.3 million, with $2.7 million in accounts located in the Cayman Islands. Cash, cash equivalents and restricted cash balances as of October 31, 2024, and April 2024 and 2023 were in excess of federal depository insurance limits. We have not experienced any losses in such accounts as of the date of this prospectus, and we believe that we are not exposed to significant credit risk on our cash balances.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240" w:after="0"/>
        <w:jc w:val="left"/>
        <w:rPr>
          <w:rFonts w:ascii="Times New Roman" w:hAnsi="Times New Roman"/>
          <w:sz w:val="20"/>
        </w:rPr>
      </w:pPr>
      <w:r>
        <w:rPr>
          <w:rFonts w:ascii="Times New Roman" w:hAnsi="Times New Roman"/>
          <w:sz w:val="20"/>
        </w:rPr>
        <w:t xml:space="preserve">Our consolidated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There can be no assurance that future inflation will not have an adverse impact on our results of operations and financial condition.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Emerging Growth Company and Smaller Reporting Company Status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Section 2(a) of the Securities Act. We will remain an emerging growth company until the earliest to occur of (i) the last day of the fiscal year that follows the fifth anniversary of the completion of this offering; (ii) the last day of the fiscal year in which we have total annual gross revenue of at least $1.235 billion; (iii) the last day of the fiscal year in which we are deemed to be a large accelerated filer, as defined in Rule 12b-2 under the Exchange Act, which will occur when the market value of our common shares held by non-affiliates exceeds $700.0 million as of the most recently completed second quarter; and (iv) the date on which we have issued more than $1 billion in non-convertible debt over a three-year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JOBS Act, an emerging growth company is provided the option to adopt new or revised accounting standards that may be issued by the Financial Accounting Standards Board or the SEC either (i) within the same periods as those otherwise applicable to non-emerging growth companies or (ii) within the same time periods as private companies. We have elected to take advantage of the exemption for complying with new or revised accounting standards within the same time periods as private companies. Accordingly, the information contained herein may be different than the information you receive from other public companies. </w:t>
      </w:r>
    </w:p>
    <w:p>
      <w:pPr>
        <w:pStyle w:val="TextBody"/>
        <w:bidi w:val="0"/>
        <w:spacing w:before="240" w:after="0"/>
        <w:jc w:val="left"/>
        <w:rPr>
          <w:rFonts w:ascii="Times New Roman" w:hAnsi="Times New Roman"/>
          <w:sz w:val="20"/>
        </w:rPr>
      </w:pPr>
      <w:r>
        <w:rPr>
          <w:rFonts w:ascii="Times New Roman" w:hAnsi="Times New Roman"/>
          <w:sz w:val="20"/>
        </w:rPr>
        <w:t xml:space="preserve">We also intend to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and reduced disclosure obligations regarding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240" w:after="0"/>
        <w:jc w:val="left"/>
        <w:rPr>
          <w:rFonts w:ascii="Times New Roman" w:hAnsi="Times New Roman"/>
          <w:sz w:val="20"/>
        </w:rPr>
      </w:pPr>
      <w:r>
        <w:rPr>
          <w:rFonts w:ascii="Times New Roman" w:hAnsi="Times New Roman"/>
          <w:sz w:val="20"/>
        </w:rPr>
        <w:t>A discussion of recently-adopted and recently-issued accounting pronouncements applicable to our company is provided in Note 2, </w:t>
      </w:r>
      <w:r>
        <w:rPr>
          <w:rFonts w:ascii="Times New Roman" w:hAnsi="Times New Roman"/>
          <w:i/>
          <w:sz w:val="20"/>
        </w:rPr>
        <w:t>Significant Accounting Policies</w:t>
      </w:r>
      <w:r>
        <w:rPr>
          <w:rFonts w:ascii="Times New Roman" w:hAnsi="Times New Roman"/>
          <w:sz w:val="20"/>
        </w:rPr>
        <w:t xml:space="preserve">, to our consolidated financial statements for the fiscal years ended April 30, 2024 and 2023, and our condensed consolidated financial statements for the six months ended October 31, 2024 and 2023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744414_10"/>
      <w:bookmarkEnd w:id="12"/>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240" w:after="0"/>
        <w:jc w:val="left"/>
        <w:rPr>
          <w:rFonts w:ascii="Times New Roman" w:hAnsi="Times New Roman"/>
          <w:sz w:val="20"/>
        </w:rPr>
      </w:pPr>
      <w:r>
        <w:rPr>
          <w:rFonts w:ascii="Times New Roman" w:hAnsi="Times New Roman"/>
          <w:sz w:val="20"/>
        </w:rPr>
        <w:t xml:space="preserve">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wearable cardioverter defibrillator (WCD) used to protect patients at an elevated risk of sudden cardiac arrest (SCA), a major public health problem that accounts for approximately 50% of all cardiovascular deaths in the U.S. The ASSURE WCD automatically monitors elevated risk patients and, if needed, delivers a defibrillation shock to return the patients heart to normal rhythm. The ASSURE WCD was purpose-built to enhance patient comfort and compliance and directly address the key barriers to adoption associated with the only other commercially available WCD. We believe the ASSURE WCD offers significant clinical and functional advantages, including greater patient compliance as a result of a major reduction in false alarms and enhanced comfort and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addresses serious unmet needs in the cardiac patient population and has the potential to disrupt and grow the market which has been limited to a single solution for more than 20 years. As of January 31, 2025, our system is actively being prescribed by more than 550 hospitals across the U.S., representing approximately 20% of WCD prescribing hospitals in the U.S. Active prescriptions represent hospitals that have prescribed the ASSURE WCD within the last six months. Additionally, our ASSURE WCD has been worn by over 17,000 patients since it was fully commercially launched. In our top 50 hospitals, we believe we have successfully captured approximately 45% of the currently available prescriptions based on company-sourced data on all hospitals that we serve in the U.S. and the percentage of WCD filled prescriptions at those hospitals that are for our ASSURE WCD. </w:t>
      </w:r>
    </w:p>
    <w:p>
      <w:pPr>
        <w:pStyle w:val="TextBody"/>
        <w:bidi w:val="0"/>
        <w:spacing w:before="240" w:after="0"/>
        <w:jc w:val="left"/>
        <w:rPr>
          <w:rFonts w:ascii="Times New Roman" w:hAnsi="Times New Roman"/>
          <w:sz w:val="20"/>
        </w:rPr>
      </w:pPr>
      <w:r>
        <w:rPr>
          <w:rFonts w:ascii="Times New Roman" w:hAnsi="Times New Roman"/>
          <w:sz w:val="20"/>
        </w:rPr>
        <w:t xml:space="preserve">SCA is a life-threatening emergency characterized by the abrupt cessation of the heartbeat caused by an electrical malfunction in the heart. This is typically triggered by ventricular arrhythmias, such as ventricular fibrillation (VF), and leads to a loss of consciousness and potentially death within minutes if not promptly treated. The American Heart Association (AHA) estimates that SCA causes approximately 436,000 deaths per year, making it the third leading cause of death in the U.S. Defibrillation, or an electrical shock, is the only way to restore a fibrillating heart to a normal rhythm. Each minute of delay in restoring the heart to a normal rhythm reduces a patients chance of survival by 7% to 10%. The average time for Emergency Medical Services (EMS) arrival is 7 minutes from the time of a 911 call, and often longer in rural communities. The most common location of a SCA in adults is at a home or residence, representing approximately 73% of SCAs. In addition, approximately 50% of all SCAs are unwitnessed. </w:t>
      </w:r>
    </w:p>
    <w:p>
      <w:pPr>
        <w:pStyle w:val="TextBody"/>
        <w:bidi w:val="0"/>
        <w:spacing w:before="240" w:after="0"/>
        <w:jc w:val="left"/>
        <w:rPr>
          <w:rFonts w:ascii="Times New Roman" w:hAnsi="Times New Roman"/>
          <w:sz w:val="20"/>
        </w:rPr>
      </w:pPr>
      <w:r>
        <w:rPr>
          <w:rFonts w:ascii="Times New Roman" w:hAnsi="Times New Roman"/>
          <w:sz w:val="20"/>
        </w:rPr>
        <w:t xml:space="preserve">A WCD is a wearable, non-invasive miniaturized automated external defibrillator and is worn underneath regular clothing. The device continuously monitors a patients heart rhythm and is capable of delivering a defibrillation shock. Wires connect electrodes inside the garment to the monitor, which is carried in a small pack or shoulder bag. The electrodes continuously acquire a patients heart rate and rhythm for evaluation by the automated external defibrillator. If the monitor detects a potentially life-threatening arrhythmia, the WCD first alerts the patient via an audible alarm and then administers a shock, if needed. </w:t>
      </w:r>
    </w:p>
    <w:p>
      <w:pPr>
        <w:pStyle w:val="TextBody"/>
        <w:bidi w:val="0"/>
        <w:spacing w:before="240" w:after="0"/>
        <w:jc w:val="left"/>
        <w:rPr>
          <w:rFonts w:ascii="Times New Roman" w:hAnsi="Times New Roman"/>
          <w:sz w:val="20"/>
        </w:rPr>
      </w:pPr>
      <w:r>
        <w:rPr>
          <w:rFonts w:ascii="Times New Roman" w:hAnsi="Times New Roman"/>
          <w:sz w:val="20"/>
        </w:rPr>
        <w:t xml:space="preserve">The WCD is indicated for use in patients who are at risk for SCA and are not candidates for, or refuse, an ICD. WCDs are typically prescribed to patients immediately following an MI or heart failure diagnosis and serve as a bridge to recovery between the cardiac event and a longer-term treatment regimen. During this period, healthcare providers will adjust the medications prescribed for the patient and observe whether the patients LVEF improves. The expected wear duration of the WCD varies based on the patients indication, with the majority of our patients being prescribed the WCD for three months or longer.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over 20 years, WCDs have been used to protect patients at elevated risk of SCA. However, until the ASSURE WCD received Food and Drug Administration (FDA) approval in July of 2021, the market was limited to a single solution. Since the approval of the first WCD in 2001, global WCD revenues have grown to $1.3 billion in 2023, with approximately 85% of the revenues generated in the U.S. based on our analysis of third-party claims data and estimated average WCD wear prescription lengths and average reimbursement rates in the U.S. and in select international markets derived from industry data and internal estimates. The volume of patients prescribed a WCD in the U.S. grew at roughly 6% annually between 2021 and 2023, and we expect WCD revenues to continue growing. </w:t>
      </w:r>
    </w:p>
    <w:p>
      <w:pPr>
        <w:pStyle w:val="TextBody"/>
        <w:bidi w:val="0"/>
        <w:spacing w:before="240" w:after="0"/>
        <w:jc w:val="left"/>
        <w:rPr>
          <w:rFonts w:ascii="Times New Roman" w:hAnsi="Times New Roman"/>
          <w:sz w:val="20"/>
        </w:rPr>
      </w:pPr>
      <w:r>
        <w:rPr>
          <w:rFonts w:ascii="Times New Roman" w:hAnsi="Times New Roman"/>
          <w:sz w:val="20"/>
        </w:rPr>
        <w:t xml:space="preserve">Despite being proven as safe and effective in treating dangerous cardiac rhythms when worn, WCD therapy remains underutilized, reaching just 14% of the eligible U.S. patient population in 2023 based on data on patients indicated for a WCD and WCD prescription data from industry sources. We believe that the low penetration of WCD therapy is largely due to the limitations of the incumbent commercially available device. In feedback we have collected through directly engaging with patients and providers and customer feedback on public platforms, commonly cited reasons for patients or providers failing to use the competitor device include high false alarm frequency, poor wearability and patient discomfort, a unisex-only garment, low utility data and limited connectivity with patients. In the U.S., we estimate that there are approximately 800,000 cardiac patients each year who have experienced an MI or are diagnosed with heart failure and have low LVEF, therefore making them eligible for WCD therapy. Additionally, approximately 50,000 patients each year either have documented VT or VF, an inherited genetic condition, or have had their ICD temporarily explanted, and are also indicated for WCDs. Based on an average WCD wear prescription length of 3.4 months per patient and an average Medicare reimbursement rate of $3,436 per patient per month, we believe this represents an approximately $10 billion annual addressable market.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For a description of the international markets covered by this estimated market opportunity, see Industry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The ASSURE WCD is the next generation of WCD therapy, delivering a safe and effective solution for patients with a design that enhances patient comfort and compliance. In addition to the ASSURE WCD, the various digital solutions and services of our Cardiac Recovery System platform include the ASSURE patient application, Kestra CareStation remote patient data platform, Heart Alert Services, and ASSURE Assist services. The ASSURE patient application engages patients with real-time mobile updates to promote compliance, while the Kestra CareStation remote patient data platform equips healthcare providers with actionable insights to support timely and informed care decisions. Heart Alert Services and ASSURE Assist services work together to enhance safety and are designed to provide critical alerts to healthcare providers for significant arrhythmias and notify emergency services when therapy is administered. This post-therapy EMS support is critical as a range of injuries, such as head injuries, soft tissue damage and bone fractures, can result from falling down after a SCA. In addition, the ASSURE wearable ECG as part of our Cardiac Recovery System platform provides monitoring and connectivity for patients no longer indicated for a WCD but who still require ongoing support while their heart continues to remodel. We believe we offer the most comprehensive and cohesive platform, with digital solutions and services that are seamlessly integrated with our ASSURE WCD, meaningfully differentiating our Cardiac Recovery System platform from the only other commercially available WCD and offering the following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Modern and advanced design improves comfort, performance and maximizes wearability.</w:t>
            </w:r>
            <w:r>
              <w:rPr>
                <w:rFonts w:ascii="Times New Roman" w:hAnsi="Times New Roman"/>
                <w:sz w:val="20"/>
              </w:rPr>
              <w:t xml:space="preserve"> The garments were developed with an athletic and sportswear designer and are tailored for body inclusivity, offering two styles and a wide range of sizes. We believe that having separate, gender-specific designs is particularly important given women make up approximately 40% of SCA patients. Overall wearability is further supported by the results of our active surveillance post-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3"/>
        <w:gridCol w:w="8982"/>
      </w:tblGrid>
      <w:tr>
        <w:trPr/>
        <w:tc>
          <w:tcPr>
            <w:tcW w:w="1223" w:type="dxa"/>
            <w:tcBorders/>
            <w:vAlign w:val="center"/>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study, ACE-PAS, which demonstrate a median wear time of greater than 23 hours per day. In addition to improving comfort and wearability, our unique garment design incorporates cushioned electrodes that are embedded in the fabric to improve electrode contact and, ultimately, improve electrocardiogram (ECG) signal quality.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High fidelity ECG leading to</w:t>
            </w:r>
            <w:r>
              <w:rPr>
                <w:rFonts w:ascii="Times New Roman" w:hAnsi="Times New Roman"/>
                <w:sz w:val="20"/>
              </w:rPr>
              <w:t xml:space="preserve"> </w:t>
            </w:r>
            <w:r>
              <w:rPr>
                <w:rFonts w:ascii="Times New Roman" w:hAnsi="Times New Roman"/>
                <w:b/>
                <w:i/>
                <w:sz w:val="20"/>
              </w:rPr>
              <w:t>fewer</w:t>
            </w:r>
            <w:r>
              <w:rPr>
                <w:rFonts w:ascii="Times New Roman" w:hAnsi="Times New Roman"/>
                <w:sz w:val="20"/>
              </w:rPr>
              <w:t xml:space="preserve"> </w:t>
            </w:r>
            <w:r>
              <w:rPr>
                <w:rFonts w:ascii="Times New Roman" w:hAnsi="Times New Roman"/>
                <w:b/>
                <w:i/>
                <w:sz w:val="20"/>
              </w:rPr>
              <w:t>false</w:t>
            </w:r>
            <w:r>
              <w:rPr>
                <w:rFonts w:ascii="Times New Roman" w:hAnsi="Times New Roman"/>
                <w:sz w:val="20"/>
              </w:rPr>
              <w:t xml:space="preserve"> </w:t>
            </w:r>
            <w:r>
              <w:rPr>
                <w:rFonts w:ascii="Times New Roman" w:hAnsi="Times New Roman"/>
                <w:b/>
                <w:i/>
                <w:sz w:val="20"/>
              </w:rPr>
              <w:t>alarms.</w:t>
            </w:r>
            <w:r>
              <w:rPr>
                <w:rFonts w:ascii="Times New Roman" w:hAnsi="Times New Roman"/>
                <w:sz w:val="20"/>
              </w:rPr>
              <w:t xml:space="preserve"> The ASSURE WCD is designed to minimize false alarms. The overall level of noise is reduced through use of resistive ECG electrodes that are cushioned and securely bonded to the fabric, custom shielded cables, and isolation circuitry. The ASSURE WCD also utilizes four channels of high-quality ECG, combined with Adaptive Patient Intelligence (API), a proprietary technology that adapts to the patient heart rhythm to filter out artifacts and improve performance even in a noisy environment. According to the Journal of Interventional Cardiac Electrophysiology Study, as a result of these features, only 6% of our patients experience a false alarm, compared to 46% for the competitors device. Reduction in false alarms may lead to lower patient anxiety, improved patient satisfaction and increased patient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Product innovations and integrated digital solutions and services supporting the patient throughout the cardiac care continuum. </w:t>
            </w:r>
            <w:r>
              <w:rPr>
                <w:rFonts w:ascii="Times New Roman" w:hAnsi="Times New Roman"/>
                <w:sz w:val="20"/>
              </w:rPr>
              <w:t xml:space="preserve">Our Cardiac Recovery System platform is a comprehensive suite of proprietary wearable and fully integrated digital solutions and services for monitoring, diagnosing, and protecting patients through their cardiac recovery journey. We believe our Cardiac Recovery System platform represents a competitive advantage, with the goal of ultimately improving the prescriber and patient experience, maximizing patient comfort and compliance, and increasing adoption of our system. In addition, our Cardiac Recovery System platforms capabilities allow healthcare providers to identify other clinically significant arrhythmias.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Improved energy delivery to enhance efficacy and safety.</w:t>
            </w:r>
            <w:r>
              <w:rPr>
                <w:rFonts w:ascii="Times New Roman" w:hAnsi="Times New Roman"/>
                <w:sz w:val="20"/>
              </w:rPr>
              <w:t xml:space="preserve"> The ASSURE WCD delivers a 170 joule shock to better serve patients with higher defibrillation thresholds, compared to the competitor device which delivers a 150 joule shock. In addition, our system has a minimum defibrillation capacity of 25 shocks, providing a significant safety buffer for patients experiencing multiple cardiac events within a short time period, such as a VT storm, where a patient experiences multiple episodes of sustained VT within a short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building a body of clinical evidence supporting the safety, efficacy, and benefits of the ASSURE WCD, with six publications completed to date. This growing portfolio includes our pivotal trialsthe ASSURE WCD Clinical EvaluationDetection and Safety Study (ACE-DETECT) and the ASSURE WCD Clinical EvaluationConversion Efficacy Study (ACE-CONVERT)which served as the basis for our premarket approval (PMA). In addition, we are conducting the ACE-PAS as part of a broader ongoing ASSURE Patient Registry. All patients prescribed the ASSURE WCD in the United States after August 5, 2022 are included in the Registry. As of January 31, 2025, our ongoing registry has enrolled over 17,000 patients, and its findings further validate the results of ACE-DETECT and ACE-CONVERT. Our most recent FDA submission from ACE-PAS from July 2024, which includes data from 5,929 patients, reported first shock conversion efficacy of approximately 96%, a low false alarm rate with only 6% of our patients experiencing a false alarm, compared to 46% for the competitors device, and a median daily use of 23.2 hours. These results underscore the ASSURE WCDs competitive advantages in wearability, usability, and patient compliance, providing strong support for continued adoption. We believe this collection of real-world evidence will generate additional publications, continue to increase awareness of WCDs as a proven therapy for elevated risk cardiac patients and further demonstrate the clinical differentiation of our ASSURE WCD. </w:t>
      </w:r>
    </w:p>
    <w:p>
      <w:pPr>
        <w:pStyle w:val="TextBody"/>
        <w:bidi w:val="0"/>
        <w:spacing w:before="240" w:after="0"/>
        <w:jc w:val="left"/>
        <w:rPr>
          <w:rFonts w:ascii="Times New Roman" w:hAnsi="Times New Roman"/>
          <w:sz w:val="20"/>
        </w:rPr>
      </w:pPr>
      <w:r>
        <w:rPr>
          <w:rFonts w:ascii="Times New Roman" w:hAnsi="Times New Roman"/>
          <w:sz w:val="20"/>
        </w:rPr>
        <w:t xml:space="preserve">We have made material investments in infrastructure to support rapid growth and scalability, specifically in our commercial organization, distribution and supply chain capabilities, as well as revenue cycle management capabilities. In the U.S., we have built a commercial sales team of approximately 70 direct sales representatives and more than 40 sales and clinical support professionals with deep expertise in cardiac rhythm management and established relationships in the cardiology and electrophysiology fields. This team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responsible for developing sales territory business plans, targeting and opening new accounts, and processing prescriptions of our ASSURE WCD. Our direct sales team is supported by a contracted team of over 250 APSs who assist patients with fitting and training. At fitting, we deliver our ASSURE WCD from our distribution network to the patient. We utilize a lease business model, and when a patients wear time has concluded, the device is returned for reprocessing and reintroduction into the distribution network. To support our growth, we have developed a highly scalable supply chain in collaboration with experienced, top-tier medical technology suppliers. Our substantial investment in a fleet of devices, each with a capacity for approximately three patient wears per year, are reprocessed through efficient reconditioning, which enables the business to scale with an attractive unit economic profile. Finally, our revenue cycle management capabilities streamline reimbursement processes by ensuring claims are accurately prepared and submitted according to individual payor requirements, facilitating timely collections. These capabilities are a critical asset in driving operational efficiency and supporting both patient and prescriber satisfaction. We believe our significant investments in infrastructure create a high barrier to entry that will help us protect and grow our market share. </w:t>
      </w:r>
    </w:p>
    <w:p>
      <w:pPr>
        <w:pStyle w:val="TextBody"/>
        <w:bidi w:val="0"/>
        <w:spacing w:before="240" w:after="0"/>
        <w:jc w:val="left"/>
        <w:rPr>
          <w:rFonts w:ascii="Times New Roman" w:hAnsi="Times New Roman"/>
          <w:sz w:val="20"/>
        </w:rPr>
      </w:pPr>
      <w:r>
        <w:rPr>
          <w:rFonts w:ascii="Times New Roman" w:hAnsi="Times New Roman"/>
          <w:sz w:val="20"/>
        </w:rPr>
        <w:t xml:space="preserve">Over a decade of investment in our research and development capabilities has resulted in a highly experienced and capable innovation engine. Designed to be scalable, our Cardiac Recovery System platform supports future extensions and enhancements, enabling the integration of new therapeutic and diagnostic capabilities to support our existing fleet of ASSURE WCDs. The platform also enables data collection from patients that we believe will support training of future automated algorithms to detect and predict clinically relevant events. Moreover, we have a robust patent and trade secrets portfolio, with more than 365 pending and issued patents worldwide. We believe the combination of our intellectual property portfolio and upgradeable product design creates significant opportunities for efficient innovation. </w:t>
      </w:r>
    </w:p>
    <w:p>
      <w:pPr>
        <w:pStyle w:val="TextBody"/>
        <w:bidi w:val="0"/>
        <w:spacing w:before="240" w:after="0"/>
        <w:jc w:val="left"/>
        <w:rPr>
          <w:rFonts w:ascii="Times New Roman" w:hAnsi="Times New Roman"/>
          <w:sz w:val="20"/>
        </w:rPr>
      </w:pPr>
      <w:r>
        <w:rPr>
          <w:rFonts w:ascii="Times New Roman" w:hAnsi="Times New Roman"/>
          <w:sz w:val="20"/>
        </w:rPr>
        <w:t xml:space="preserve">WCD therapy in the U.S. has well-defined reimbursement codes, steadily increasing Medicare payment rates and broad coverage from major U.S. payors. Reimbursement rates continue to rise, reflecting growing recognition and support for this life-saving therapy. Strong prescriber demand and patient preference for the ASSURE WCD have driven broad payor coverage for the ASSURE WCD, with over 285 million U.S. lives being currently covered via insurance contracts, representing approximately 90% of the total available lives, including traditional Medicare, select state Medicaid programs, and national commercial insurers. Based on feedback from our payors, we believe that this reflects payors desire for a second choice to the competitor product, our solution addressing an unmet need with a female-specific garment and the overall patient compliance benefits of the ASSURE WCD. Our established payor relationships reduce our administrative burden in authorization and billing for our ASSURE WCD. </w:t>
      </w:r>
    </w:p>
    <w:p>
      <w:pPr>
        <w:pStyle w:val="TextBody"/>
        <w:bidi w:val="0"/>
        <w:spacing w:before="240" w:after="0"/>
        <w:jc w:val="left"/>
        <w:rPr>
          <w:rFonts w:ascii="Times New Roman" w:hAnsi="Times New Roman"/>
          <w:sz w:val="20"/>
        </w:rPr>
      </w:pPr>
      <w:r>
        <w:rPr>
          <w:rFonts w:ascii="Times New Roman" w:hAnsi="Times New Roman"/>
          <w:sz w:val="20"/>
        </w:rPr>
        <w:t xml:space="preserve">We have experienced rapid growth since our full commercial launch, expanding our headcount from 66 team members in October 2020 to over 300 team members as of January 31, 2025. We generated revenue of $27.5 million for the six months ended October 31, 2024, compared to revenue of $9.5 million for the six months ended October 31, 2023, representing 190% quarter-over-quarter growth. For the fiscal year ended April 30, 2024, we generated revenue of $27.8 million, compared to revenue of $7.6 million for the fiscal year ended April 30, 2023, representing 265% year-over-year growth. In the six months ended October 31, 2024, we recognized a net loss of $40.9 million, compared to a net loss of $50.2 million for the six months ended October 31, 2023. For the fiscal year ended April 30, 2024, we recognized a net loss of $94.1 million, compared to a net loss of $84.2 million for the fiscal year ended April 30, 2023. As of October 31, 2024, April 30, 2024 and April 30, 2023, we had an accumulated deficit of $446.7 million, $406.4 million and $312.3 million,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Our Success Factors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continued growth of our company will be driven by the following success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Large, growing, and underpenetrated WCD market with a single competitor.</w:t>
            </w:r>
            <w:r>
              <w:rPr>
                <w:rFonts w:ascii="Times New Roman" w:hAnsi="Times New Roman"/>
                <w:sz w:val="20"/>
              </w:rPr>
              <w:t xml:space="preserve"> For over 20 years, WCDs have been used to protect patients at an elevated risk of SCA. However, until the ASSURE WCD received FDA approval in July of 2021, the market was served by a single supplier. Since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0"/>
        <w:gridCol w:w="8985"/>
      </w:tblGrid>
      <w:tr>
        <w:trPr/>
        <w:tc>
          <w:tcPr>
            <w:tcW w:w="1220" w:type="dxa"/>
            <w:tcBorders/>
            <w:vAlign w:val="center"/>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first WCD in 2001, global WCD revenues have grown to $1.3 billion in 2023, with approximately 85% of the revenues generated in the U.S. based on our analysis of third-party claims data and estimated average WCD wear prescription lengths and average reimbursement rates in the U.S. and in select international markets derived from industry data and internal estimates. The volume of patients prescribed a WCD in the U.S. grew at roughly 6% annually between 2021 and 2023, and we expect WCD revenues to continue growing. Despite being proven as safe and effective in treating dangerous cardiac rhythms when worn, WCD therapy remains underutilized, reaching just 14% of the eligible U.S. patient population in 2023 based on data on patients indicated for a WCD and WCD prescription data from industry sources. This low penetration is attributed largely to poor patient compliance, a challenge stemming from the limitations of the competitor device. As a next-generation WCD therapy, our ASSURE WCD, as part of our broader comprehensive Cardiac Recovery System platform, is aiming to solve this issue by providing a solution that is intended to enhance patient comfort and compliance. In the U.S., we estimate that there are approximately 800,000 cardiac patients each year who have experienced an MI or are diagnosed with heart failure and have low LVEF, therefore making them eligible for WCD therapy. Additionally, approximately 50,000 patients each year either have documented VT or VF, an inherited genetic condition, or have had their ICD temporarily explanted, and are also indicated for WCDs. Based on an average WCD wear prescription length 3.4 months per patient and an average Medicare reimbursement rate of $3,436 per patient per month, we believe this represents an approximately $10 billion annual addressable market. While our current commercial efforts are focused on the U.S., international markets represented approximately 15% of global WCD revenues in 2023, primarily concentrated in several large countries in western Europe.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For a description of the international markets covered by this estimated market opportunity, see Industry and Market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Highly innovative Cardiac Recovery System platform designed to protect patients from SCA and improve patient compliance and healthcare provider adoption.</w:t>
            </w:r>
            <w:r>
              <w:rPr>
                <w:rFonts w:ascii="Times New Roman" w:hAnsi="Times New Roman"/>
                <w:sz w:val="20"/>
              </w:rPr>
              <w:t> With improved patient compliance and superior clinical efficacy as our main objectives, we purpose-built our ASSURE WCD from the ground up. The ASSURE WCD is the cornerstone of our Cardiac Recovery System platform, a comprehensive and advanced system that integrates monitoring, therapeutic treatment, digital health, and patient support services into a single, unified solution. The ASSURE WCD directly addresses known barriers by prioritizing comfort, usability, and diagnostic utility, positioning it to drive broader adoption and improve outcomes for elevated risk cardiac patients. The wearable garmentsdeveloped with an athletic and sportswear designerincorporate advanced electronics, mobile technology, signal processing and performance fabrics to deliver superior wearability. Available in gender-specific styles and a wide range of sizes, the garments feature cushioned integrated sensors, ensuring comfort and body inclusivity. This design is proven out by results from our post-approval study, which demonstrate a median wear time of over 23 hours per day. The ASSURE WCD minimizes false alarms using advanced, custom electrical engineering techniques to reduce motion-induced noise. The ASSURE WCD utilizes four channels of high-quality ECG, combined with API, a proprietary technology that adapts to the patient heart rhythm, to filter out artifacts and improve performance even in a noisy environment. According to the Journal of Interventional Cardiac Electrophysiology Study, as a result of these features, only 6% of our patients experience a false alarm, compared to 46% for the competitors device. This reduction lowers patient anxiety and improves satisfaction. With a patient-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3"/>
        <w:gridCol w:w="8982"/>
      </w:tblGrid>
      <w:tr>
        <w:trPr/>
        <w:tc>
          <w:tcPr>
            <w:tcW w:w="1223" w:type="dxa"/>
            <w:tcBorders/>
            <w:vAlign w:val="center"/>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centered design, advanced ECG fidelity, and integrated digital platform, the ASSURE WCD is a differentiated solution that protects patients, empowers healthcare providers with actionable insights, and improves outcomes across the cardiac care continuum.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Comprehensive and fully integrated suite of mission critical digital solutions and services for driving patient and healthcare provider engagement. </w:t>
            </w:r>
            <w:r>
              <w:rPr>
                <w:rFonts w:ascii="Times New Roman" w:hAnsi="Times New Roman"/>
                <w:sz w:val="20"/>
              </w:rPr>
              <w:t xml:space="preserve">Designed to enhance both patient and provider experiences, our Cardiac Recovery System platform is a unified, patient-centered solution that addresses known barriers to adoption and improves patient care. The various digital solutions and services of the Cardiac Recovery System platform include the ASSURE patient application, Kestra CareStation remote patient data platform, Heart Alert Services, and ASSURE Assist services. The ASSURE patient application engages patients with real-time mobile updates to promote compliance, while the Kestra CareStation remote patient data platform equips healthcare providers with actionable insights to support timely and informed care decisions. Heart Alert Services and ASSURE Assist services work together to enhance safety and are designed to provide critical alerts to healthcare providers for significant arrhythmias and notify emergency services when therapy is administered. We believe we offer the most comprehensive and cohesive platform, with digital solutions and services that are seamlessly integrated with our ASSURE WCD, meaningfully differentiating our Cardiac Recovery System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Material investments in infrastructure to support rapid growth and scale.</w:t>
            </w:r>
            <w:r>
              <w:rPr>
                <w:rFonts w:ascii="Times New Roman" w:hAnsi="Times New Roman"/>
                <w:sz w:val="20"/>
              </w:rPr>
              <w:t xml:space="preserve"> We have made material investments in infrastructure to support rapid growth and scalability, specifically in our commercial organization, distribution and supply chain capabilities, and revenue cycle management capabilities. In the U.S., we have built a commercial sales team of approximately 70 direct sales representatives and more than 40 sales and clinical support professionals with deep expertise in cardiac rhythm management and established relationships in the cardiology and electrophysiology fields. Our team is further supported by a contracted network of over 250 patient specialists who assist with onboarding, fitting, and training patients, ensuring a scalable and seamless adoption process. Our commercial team has been successful at processing prescriptions of the ASSURE WCD, with more than 550 hospitals actively prescribing our system as of January 31, 2025. To support our growth, we have developed a highly scalable supply chain in collaboration with experienced, top-tier medical technology suppliers. Our substantial investment in a fleet of devices, each with a capacity for approximately three patient wears per year, are reprocessed through efficient reconditioning, which enables the business to scale with an attractive unit economic profile. Finally, our revenue cycle management capabilities streamline reimbursement processes by ensuring claims are accurately prepared and submitted according to individual payor requirements, facilitating timely collections. These capabilities are a critical asset in driving operational efficiency and supporting both patient and prescriber satisfaction. We believe our significant investments in infrastructure create a high barrier to entry that will help us protect and grow our market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Established reimbursement and favorable payor coverage.</w:t>
            </w:r>
            <w:r>
              <w:rPr>
                <w:rFonts w:ascii="Times New Roman" w:hAnsi="Times New Roman"/>
                <w:sz w:val="20"/>
              </w:rPr>
              <w:t xml:space="preserve"> WCD therapy in the U.S. has well-defined reimbursement codes, steadily increasing Medicare payment rates and broad coverage from major U.S. payors. Reimbursement rates continue to rise, reflecting growing recognition and support for this life-saving therapy. From 2021 to 2024, published Medicare reimbursement rates have increased at a CAGR of 5.4%. Strong prescriber demand and patient preference for the ASSURE WCD have driven broad payor coverage for the ASSURE WCD, with over 285 million U.S. lives being currently covered via insurance contracts, representing approximately 90% of the total available lives, including traditional Medicare, select state Medicaid programs, and national commercial insurers. Based on feedback from our payors, we believe that this rapid payor coverage adoption reflects payors desire for a second choice to the competitor product, our solution addressing an unmet need with a female-specific garment and the overall patient compliance benefits of the ASSURE WCD.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Strong and compelling body of clinical evidence.</w:t>
            </w:r>
            <w:r>
              <w:rPr>
                <w:rFonts w:ascii="Times New Roman" w:hAnsi="Times New Roman"/>
                <w:sz w:val="20"/>
              </w:rPr>
              <w:t xml:space="preserve"> We are building a body of clinical evidence supporting the safety, efficacy, and benefits of the ASSURE WCD, with six publications completed to date. This growing portfolio includes our pivotal trialsACE-DETECT and ACE-CONVERTwhich served as the basis for our PMA approval. ACE-DETECT confirmed detection of arrhythmias and demonstrated a significantly lower false-positive shock alarm rate compared to the existing commercial device with no missed events, low patient-reported discomfort, and no serious adverse events over a 30-day wear period in ambulatory patients at elevated risk of SCA. ACE-CONVERT showed a cumulative first- and second-shock conversion efficacy of 100% for induced VT/VF, highlighting the systems reliability in life-threatening scenarios. In addition, we are continuing our active enrollment of patients in ACE-PAS, our real-world post-approval patient registry. All patients prescribed the ASSURE WCD in the United States after August 5, 2022 are included in the Registry. As of January 31, 2025, our ongoing registry has enrolled over 17,000 patients, and its findings further validate the results of ACE-DETECT and ACE-CONVERT. Our most recent FDA submission from ACE-PAS from July 2024, which includes data from 5,929 patients, reported first shock conversion efficacy of approximately 96%, a low false alarm rate with only 6% of our patients experiencing a false alarm, compared to 46% for the competitors device, and a median daily use of 23.2 hours. These results underscore the ASSURE WCDs competitive advantages in wearability, usability, and patient compliance, providing strong support for continued adoption. Looking ahead, we remain committed to expanding our clinical data and evidence to reinforce the value of our solutions, drive further market adoption, and strengthen evidence of the systems clinical utility.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Broad research and development capabilities and a robust intellectual property portfolio.</w:t>
            </w:r>
            <w:r>
              <w:rPr>
                <w:rFonts w:ascii="Times New Roman" w:hAnsi="Times New Roman"/>
                <w:sz w:val="20"/>
              </w:rPr>
              <w:t xml:space="preserve"> Over a decade of investment in our research and development capabilities has resulted in a highly experienced and capable innovation engine. Designed to be scalable, our Cardiac Recovery System platform supports future extensions and enhancements, enabling the integration of new therapeutic and diagnostic capabilities to support our existing fleet of ASSURE WCDs. The platform also enables data collection from patients that will support training of future automated algorithms to detect and predict clinically relevant events. Moreover, we have a robust patent and trade secrets portfolio, with more than 365 pending and issued patents worldwide. We believe the combination of our IP portfolio and upgradeable product design create significant opportunities for future innovation.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Highly experienced management team and board with proven commercial growth success. </w:t>
            </w:r>
            <w:r>
              <w:rPr>
                <w:rFonts w:ascii="Times New Roman" w:hAnsi="Times New Roman"/>
                <w:sz w:val="20"/>
              </w:rPr>
              <w:t xml:space="preserve">Our leadership team brings over 350 years of combined experience spanning enterprise strategy, finance, operations, research and development, and regulatory affairs. Our team also has deep experience and expertise in external defibrillation technologies. With a proven track record of successfully scaling medical technology businesses, the team guided the ASSURE WCD from concept through commercial launch. This expertise is further bolstered by an experienced board and world-class investors with deep industry knowledge and recognized leadership in healthcare, medical technology, and adjacent, relevant industries.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Our Growth Strategies </w:t>
      </w:r>
    </w:p>
    <w:p>
      <w:pPr>
        <w:pStyle w:val="TextBody"/>
        <w:bidi w:val="0"/>
        <w:spacing w:before="240" w:after="0"/>
        <w:jc w:val="left"/>
        <w:rPr>
          <w:rFonts w:ascii="Times New Roman" w:hAnsi="Times New Roman"/>
          <w:sz w:val="20"/>
        </w:rPr>
      </w:pPr>
      <w:r>
        <w:rPr>
          <w:rFonts w:ascii="Times New Roman" w:hAnsi="Times New Roman"/>
          <w:sz w:val="20"/>
        </w:rPr>
        <w:t xml:space="preserve">To fully achieve our mission of providing innovative, intuitive medical technologies to protect and support at-risk patients, we intend to pursue the following growth strategies: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Continue to capture share of the current WCD prescriptions in the U.S. </w:t>
            </w:r>
            <w:r>
              <w:rPr>
                <w:rFonts w:ascii="Times New Roman" w:hAnsi="Times New Roman"/>
                <w:sz w:val="20"/>
              </w:rPr>
              <w:t xml:space="preserve">In 2023, approximately 120,000 U.S. patients received a WCD, generating over $1 billion in revenues. As of January 31, 2025, the ASSURE WCD is actively being prescribed by more than 550 hospitals and, since its full commercial launch in August 2022, has been worn by more than 17,000 patients, demonstrating its potential to address unmet clinical needs and disrupt the market. To build on this momentum, we are expanding our commercial organization, currently comprised of approximately 130 team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0"/>
        <w:gridCol w:w="8985"/>
      </w:tblGrid>
      <w:tr>
        <w:trPr/>
        <w:tc>
          <w:tcPr>
            <w:tcW w:w="1220" w:type="dxa"/>
            <w:tcBorders/>
            <w:vAlign w:val="center"/>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members, including regional sales leaders, territory managers, associate sales representatives, and clinical care specialists. This strategic expansion will enhance territory coverage, accelerate entry into new markets, and strengthen our ability to reach more patients. We see additional opportunities to drive compliance by prioritizing patient comfort and leveraging greater connectivity to prevent lapses in usage. To further advance utilization, we are responsibly fostering advocacy through collaborations with key opinion leaders, medical societies, and clinical advisory boards. Peer-to-peer education, supported by our medical consultants, plays a critical role in ensuring the ASSURE WCDs unique benefits are widely recognized and embraced within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Expand adoption of our Cardiac Recovery System platform in the U.S. to</w:t>
            </w:r>
            <w:r>
              <w:rPr>
                <w:rFonts w:ascii="Times New Roman" w:hAnsi="Times New Roman"/>
                <w:sz w:val="20"/>
              </w:rPr>
              <w:t xml:space="preserve"> </w:t>
            </w:r>
            <w:r>
              <w:rPr>
                <w:rFonts w:ascii="Times New Roman" w:hAnsi="Times New Roman"/>
                <w:b/>
                <w:i/>
                <w:sz w:val="20"/>
              </w:rPr>
              <w:t>increase the penetration of the U.S. total addressable WCD market.</w:t>
            </w:r>
            <w:r>
              <w:rPr>
                <w:rFonts w:ascii="Times New Roman" w:hAnsi="Times New Roman"/>
                <w:sz w:val="20"/>
              </w:rPr>
              <w:t xml:space="preserve"> Despite its established efficacy, WCD therapy remains underutilized in the U.S., primarily due to the limitations of the legacy device and gaps in awareness by healthcare providers of its broader diagnostic utility. As a result, many indicated patients do not receive a prescription and some choose not to wear the device. Additionally, many healthcare providerseven those familiar with WCD therapymay not fully recognize the breadth of patients who could benefit from this life-saving technology. This underutilization highlights significant opportunities to expand awareness and adoption. To close this gap, we are implementing a targeted market-shaping strategy to emphasize the differentiated, clinically meaningful advantages of our Cardiac Recovery System platform. A key focus is educating healthcare providers on the benefits of WCD therapy for newly diagnosed heart failure patients in parallel to receiving guideline-directed medical therapy (GDMT). These efforts include direct engagement with healthcare providers to broaden awareness of eligible patient populations and position WCDs as integral to comprehensive, longer-term cardiac care. We are further advancing adoption through conference and tradeshow participation, developing key opinion leader partnerships to build advocacy, and increasing brand awareness with programmatic and industry-specific advertising.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Build upon our strong base of clinical evidence. </w:t>
            </w:r>
            <w:r>
              <w:rPr>
                <w:rFonts w:ascii="Times New Roman" w:hAnsi="Times New Roman"/>
                <w:sz w:val="20"/>
              </w:rPr>
              <w:t xml:space="preserve">We are committed to building upon our strong foundation of clinical evidence demonstrating the efficacy of our ASSURE WCD and our broader Cardiac Recovery System platform. The ASSURE Patient Registry serves as a cornerstone for generating real-world evidence on our ASSURE WCDs performance, and we anticipate that it will support a robust cadence of publications. For example, a recent Cleveland Clinic study, presented through two abstracts at the American Heart Association Scientific Sessions 2024, highlighted the ASSURE WCDs clinical efficacy and diagnostic utility, including its ability to detect clinically significant arrhythmias such as asymptomatic atrial fibrillation. These findings demonstrated the systems high success rate in terminating life-threatening ventricular arrhythmias with minimal false alarms, reinforcing its value as both a trusted therapy and a diagnostic tool. We believe our ongoing clinical initiatives will further validate the benefits of our system and may support stronger guideline recommendations for WCD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Continue our payor engagement to broaden coverage and increase reimbursement.</w:t>
            </w:r>
            <w:r>
              <w:rPr>
                <w:rFonts w:ascii="Times New Roman" w:hAnsi="Times New Roman"/>
                <w:sz w:val="20"/>
              </w:rPr>
              <w:t xml:space="preserve"> After successfully contracting with national payors, we are now focusing on state and smaller regional plans. Using historical data, we are identifying health plans with the highest volume of out-of-network referrals and patient fittings, prioritizing those with the greatest potential to increase our in-network coverage in the geographies that we serve. This targeted approach aims to shift a larger proportion of our business to in-network fittings, driving greater efficiency and accessibility for patients and providers. We are also engaging with payors to educate them of the benefits of our Cardiac Recovery System platform and to optimize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Innovate our system and bolster our digital healthcare platform and data management capabilities.</w:t>
            </w:r>
            <w:r>
              <w:rPr>
                <w:rFonts w:ascii="Times New Roman" w:hAnsi="Times New Roman"/>
                <w:sz w:val="20"/>
              </w:rPr>
              <w:t xml:space="preserve"> Our research and development initiatives are focused on introducing enhancements,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4"/>
        <w:gridCol w:w="8981"/>
      </w:tblGrid>
      <w:tr>
        <w:trPr/>
        <w:tc>
          <w:tcPr>
            <w:tcW w:w="1224" w:type="dxa"/>
            <w:tcBorders/>
            <w:vAlign w:val="center"/>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features, and improvements to our ASSURE WCD as well as our broader suite of digital solutions. We are continuously innovating to improve our WCD in order to expand utility to broader patient populations and to ensure greater reliability and patient confidence. From a regulatory perspective, our digital healthcare platform is separate from the ASSURE WCD and is treated as an FDA Class I 510(k)-exempt device, which allows us to rapidly innovate and upgrade the digital capabilities of our Cardiac Recovery System platform. As a robust digital health platform, our system is designed to provide data transparency, diagnostic flexibility, and workflow efficiencies. With features like configurable notifications and on-demand reporting, our system empowers healthcare providers to deliver more informed care. Through the ASSURE Patient Registry, we are maximizing the utility of this system to collect and leverage aggregated, de-identified data to build clinical evidence and support innovations in prediction, prevention, and therapy. For example, we seek to identify opportunities to develop advanced capabilities to deliver personalized clinical decision support. Our efforts to continuously innovate reflect our vision of leveraging our unique capabilities to deliver smarter, more effective solutions for cardiac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b/>
                <w:i/>
                <w:sz w:val="20"/>
              </w:rPr>
              <w:t>Drive gross margin expansion and operating leverage.</w:t>
            </w:r>
            <w:r>
              <w:rPr>
                <w:rFonts w:ascii="Times New Roman" w:hAnsi="Times New Roman"/>
                <w:sz w:val="20"/>
              </w:rPr>
              <w:t xml:space="preserve"> Our gross margin has expanded significantly through our commercial launch with improvements in realized per-patient reimbursement and a lower cost per patient due to the increased number of patients we served. Rapid commercial payor contracting uptake has resulted in increased reimbursement from a higher mix of in-network patients. The reduction in cost of revenues per patient has come from volume increases in the number of fittings, re-use of our WCD fleet, our preventative maintenance program and manufacturing process enhancements. As the number of patients we serve increased, the cost of fitting per patient has decreased. In addition to improving gross margins, we believe our business model enables us to drive operating leverage. The operating cost to commercialize and service the ASSURE WCD is highly efficient with case coverage support and streamlined provider referral processes, including direct electronic medical record (EMR) selection of the ASSURE WCD. We believe that this, coupled with expected gross margin expansion, will enable us to drive profitability as the company grows.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b/>
                <w:i/>
                <w:sz w:val="20"/>
              </w:rPr>
              <w:t>Pursue expansion in international markets.</w:t>
            </w:r>
            <w:r>
              <w:rPr>
                <w:rFonts w:ascii="Times New Roman" w:hAnsi="Times New Roman"/>
                <w:sz w:val="20"/>
              </w:rPr>
              <w:t xml:space="preserve"> While our current commercial focus remains on the U.S., international markets accounted for approximately 15% of the global $1.3 billion in WCD revenues in 2023.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For a description of the international markets covered by this estimated market opportunity, see Industry and Market Data. As of the date of this prospectus,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 international countries. We anticipate Western Europe to be our initial focus due to favorable market dynamics and our goal is to obtain regulatory approvals to begin distributing our ASSURE WCD in certain markets in Western Europe within the next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Strategically pursue adjacent markets with new products offerings and differentiated services.</w:t>
            </w:r>
            <w:r>
              <w:rPr>
                <w:rFonts w:ascii="Times New Roman" w:hAnsi="Times New Roman"/>
                <w:sz w:val="20"/>
              </w:rPr>
              <w:t xml:space="preserve"> The initial focus of our Cardiac Recovery System platform is to serve high-acuity patients who require both continuous monitoring and therapy. Beyond this, we are strategically positioned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3"/>
        <w:gridCol w:w="8982"/>
      </w:tblGrid>
      <w:tr>
        <w:trPr/>
        <w:tc>
          <w:tcPr>
            <w:tcW w:w="1223" w:type="dxa"/>
            <w:tcBorders/>
            <w:vAlign w:val="center"/>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offerings to address a broader spectrum of cardiac patients, including those with atrial fibrillation, advanced hypertension, and other conditions, many of whom may remain undiagnosed without advanced monitoring solutions. Our long-term vision is to enable seamless transitions in monitoring, diagnostics, and therapy as patients health conditions evolve. The launch of our ASSURE wearable ECG marks the first step in this expansion, providing monitoring and connectivity for patients no longer indicated for a WCD but who still require ongoing support. We received FDA approval for our ASSURE wearable ECG in May 2024 and began its limited commercial launch in September of 2024 in certain strategic U.S. markets.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Market Overview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Market Opportunity </w:t>
      </w:r>
    </w:p>
    <w:p>
      <w:pPr>
        <w:pStyle w:val="TextBody"/>
        <w:bidi w:val="0"/>
        <w:spacing w:before="240" w:after="0"/>
        <w:jc w:val="left"/>
        <w:rPr>
          <w:rFonts w:ascii="Times New Roman" w:hAnsi="Times New Roman"/>
          <w:sz w:val="20"/>
        </w:rPr>
      </w:pPr>
      <w:r>
        <w:rPr>
          <w:rFonts w:ascii="Times New Roman" w:hAnsi="Times New Roman"/>
          <w:sz w:val="20"/>
        </w:rPr>
        <w:t xml:space="preserve">SCA is a major public health problem and accounts for approximately 50% of all cardiovascular deaths in the U.S. For more than two decades, healthcare providers have prescribed WCDs to protect their patients at an elevated risk of SCA. Until the ASSURE WCD was approved by the FDA in July of 2021, the WCD market was served by a single competitor. </w:t>
      </w:r>
    </w:p>
    <w:p>
      <w:pPr>
        <w:pStyle w:val="TextBody"/>
        <w:bidi w:val="0"/>
        <w:spacing w:before="240" w:after="0"/>
        <w:jc w:val="left"/>
        <w:rPr>
          <w:rFonts w:ascii="Times New Roman" w:hAnsi="Times New Roman"/>
          <w:sz w:val="20"/>
        </w:rPr>
      </w:pPr>
      <w:r>
        <w:rPr>
          <w:rFonts w:ascii="Times New Roman" w:hAnsi="Times New Roman"/>
          <w:sz w:val="20"/>
        </w:rPr>
        <w:t xml:space="preserve">Since the approval of the first WCD in 2001, global WCD revenues have grown significantly, reaching over $1.3 billion in 2023, with approximately 85% of the revenues coming from the U.S. based on our analysis of third-party claims data and estimated average WCD wear prescription lengths and average reimbursement rates in the U.S. and in select international markets derived from industry data and internal estimates. Between 2021 and 2023, the volume of patients prescribed a WCD in the U.S. grew roughly 6% annually. We expect further penetration and growth of the WCD market, driven by increased awareness and education about WCD therapy, the expanded launch of our innovative and comprehensive solution, and the rapidly growing heart failure population, which will likely expand the number of patients at elevated risk of SCA and indicated for a WCD. Despite being available for over 20 years and proven effective in treating dangerous cardiac rhythms when worn by patients, the therapy has reached just 14% of eligible U.S. patients in 2023 based on data on patients indicated for a WCD and WCD prescription data from industry sources, highlighting a significant opportunity for growth. We attribute this low penetration to poor patient compliance, driven by the limitations of our competitors device. The ASSURE WCD, as part of our broader Cardiac Recovery System platform, is designed to prioritize patient comfort and compliance, addressing common barriers to acceptance experienced by the only other commercially available WCD. </w:t>
      </w:r>
    </w:p>
    <w:p>
      <w:pPr>
        <w:pStyle w:val="TextBody"/>
        <w:bidi w:val="0"/>
        <w:spacing w:before="240" w:after="0"/>
        <w:jc w:val="left"/>
        <w:rPr>
          <w:rFonts w:ascii="Times New Roman" w:hAnsi="Times New Roman"/>
          <w:sz w:val="20"/>
        </w:rPr>
      </w:pPr>
      <w:r>
        <w:rPr>
          <w:rFonts w:ascii="Times New Roman" w:hAnsi="Times New Roman"/>
          <w:sz w:val="20"/>
        </w:rPr>
        <w:t xml:space="preserve">The WCD is indicated for use in patients who are at risk for SCA and are not candidates for, or refuse, an ICD. Medical guidelines recommend WCD use in those patients with a low LVEF and a recent MI, recent revascularization procedure or newly diagnosed nonischemic cardiomyopathy with heart failure symptoms. In addition, patients with documented VT or VF or an inherited genetic condition that places them at high risk for SCA, or patients who have had their ICD temporarily explanted are also indicated for WCDs. According to the AHA, approximately 1.8 million people in the U.S. each year experience a serious cardiac event, such as an MI, or are diagnosed with heart failure. Among these patients, around 800,000 patients have low LVEF, placing them at an elevated risk of SCA. Additionally, approximately 50,000 patients each year either have documented VT or VF, an inherited genetic condition, or have had their ICD temporarily explanted. Based on the foregoing annual incidences, the current Medicare reimbursement rates of $3,436 per patient per month as published in the CMS DMEPOS Fee Schedule, and our average initial WCD prescription length of 3.4 months, we believe the total, annual addressable market in the U.S. for the ASSURE WCD is approximately $10 billion. </w:t>
      </w:r>
    </w:p>
    <w:p>
      <w:pPr>
        <w:pStyle w:val="TextBody"/>
        <w:bidi w:val="0"/>
        <w:spacing w:before="240" w:after="0"/>
        <w:jc w:val="left"/>
        <w:rPr>
          <w:rFonts w:ascii="Times New Roman" w:hAnsi="Times New Roman"/>
          <w:sz w:val="20"/>
        </w:rPr>
      </w:pPr>
      <w:r>
        <w:rPr>
          <w:rFonts w:ascii="Times New Roman" w:hAnsi="Times New Roman"/>
          <w:sz w:val="20"/>
        </w:rPr>
        <w:t xml:space="preserve">While our current commercial focus is on the U.S., approximately 15% of the global WCD revenues in 2023 were generated internationally, representing approximately $200 million, and that has primarily been concentrated in western Europe where the market has been most developed, as well as in Japan. In select international markets, we estimate based on patient population data collected by various third-party industry sources that there are approximately 3.7 million people each year who experience an MI, are diagnosed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For a description of the international markets covered by this estimated market opportunity, see Industry and Market Data. As of the date of this prospectus,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selected international countries. We anticipate Western Europe to be our initial focus due to favorable market dynamics and our goal is to obtain regulatory approvals to begin distributing our ASSURE WCD in certain markets in Western Europe within the next three years. </w:t>
      </w:r>
    </w:p>
    <w:p>
      <w:pPr>
        <w:pStyle w:val="TextBody"/>
        <w:bidi w:val="0"/>
        <w:spacing w:before="240" w:after="0"/>
        <w:jc w:val="left"/>
        <w:rPr>
          <w:rFonts w:ascii="Times New Roman" w:hAnsi="Times New Roman"/>
          <w:b/>
          <w:i/>
          <w:sz w:val="20"/>
        </w:rPr>
      </w:pPr>
      <w:r>
        <w:rPr>
          <w:rFonts w:ascii="Times New Roman" w:hAnsi="Times New Roman"/>
          <w:b/>
          <w:i/>
          <w:sz w:val="20"/>
        </w:rPr>
        <w:t xml:space="preserve">Overview of Sudden Cardiac Arrest and Arrhythmias </w:t>
      </w:r>
    </w:p>
    <w:p>
      <w:pPr>
        <w:pStyle w:val="TextBody"/>
        <w:bidi w:val="0"/>
        <w:spacing w:before="240" w:after="0"/>
        <w:jc w:val="left"/>
        <w:rPr>
          <w:rFonts w:ascii="Times New Roman" w:hAnsi="Times New Roman"/>
          <w:sz w:val="20"/>
        </w:rPr>
      </w:pPr>
      <w:r>
        <w:rPr>
          <w:rFonts w:ascii="Times New Roman" w:hAnsi="Times New Roman"/>
          <w:sz w:val="20"/>
        </w:rPr>
        <w:t xml:space="preserve">SCA is a life-threatening emergency characterized by the abrupt cessation of the heartbeat caused by an electrical malfunction in the heart. This is typically triggered by ventricular arrhythmias, such as ventricular fibrillation, and leads to a loss of consciousness and potentially death within minutes if not promptly treated. The AHA estimates that SCA causes approximately 436,000 deaths per year, making it the third leading cause of death in the U.S. Defibrillation, or an electrical shock, is the only way to restore a fibrillating heart to a normal rhythm. </w:t>
      </w:r>
    </w:p>
    <w:p>
      <w:pPr>
        <w:pStyle w:val="TextBody"/>
        <w:bidi w:val="0"/>
        <w:spacing w:before="240" w:after="0"/>
        <w:jc w:val="left"/>
        <w:rPr>
          <w:rFonts w:ascii="Times New Roman" w:hAnsi="Times New Roman"/>
          <w:sz w:val="20"/>
        </w:rPr>
      </w:pPr>
      <w:r>
        <w:rPr>
          <w:rFonts w:ascii="Times New Roman" w:hAnsi="Times New Roman"/>
          <w:sz w:val="20"/>
        </w:rPr>
        <w:t xml:space="preserve">There are three main types of defibrillators: ICDs, external defibrillators (both manual and automated), and WCDs. An ICD is a small battery-powered device surgically placed in the chest that continuously checks the heartbeat and delivers electric shocks, when needed, to restore a regular heart rhythm. An external defibrillator is a portable device that uses two adhesive pads placed on the patients skin by a trained professional or a bystander to deliver an electric shock through the chest to the heart to restore a normal rhythm. An automated external defibrillator automatically detects a patients heart rhythm and delivers a shock while a manual external defibrillator requires the user to select a specific shock energy to be delivered to the patient. A WCD is an external wearable device that continuously monitors a patients heart rhythm. If it detects a potentially life-threatening arrhythmia, the WCD alerts the patient and, if necessary, automatically delivers a defibrillation shock to restore a normal heart rhythm. </w:t>
      </w:r>
    </w:p>
    <w:p>
      <w:pPr>
        <w:pStyle w:val="TextBody"/>
        <w:bidi w:val="0"/>
        <w:spacing w:before="240" w:after="0"/>
        <w:jc w:val="left"/>
        <w:rPr>
          <w:rFonts w:ascii="Times New Roman" w:hAnsi="Times New Roman"/>
          <w:sz w:val="20"/>
        </w:rPr>
      </w:pPr>
      <w:r>
        <w:rPr>
          <w:rFonts w:ascii="Times New Roman" w:hAnsi="Times New Roman"/>
          <w:sz w:val="20"/>
        </w:rPr>
        <w:t xml:space="preserve">Each minute of delay in restoring the heart to a normal rhythm reduces a patients chance of survival by 7% to 10%. Based on data from the American Medical Association, the average time for EMS arrival is 7 minutes from the time of a 911 call, and often longer in rural communities. The most common location of a SCA in adults is at a home or residence, representing approximately 73% of SCAs. In addition, approximately 50% of all SCAs are unwitnessed.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Chances of Survival Post Onset of Sudden Cardiac Arrest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70830" cy="2368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370830" cy="2368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SCA commonly occurs in individuals with heart disease or those experiencing cardiac events. Several research studies indicate that low LVEF may be a sign of heart disease and is one of the greatest risk factors for SCA. Normal LVEF is typically between 50% and 70%. This means that during each heartbeat, 50% to 70% of the blood in the left ventricle is pumped out to the body. Low LVEF is typically considered 40% or less. According to the New England Journal of Medicine Study, patients with an LVEF of 30% or less were two times more likely to suffer from SCA compared to patients with an LVEF of more than 40%. The American Journal of Cardiology Study showed that the absolute risk of SCA is highest during the early period following a cardiac event, especially within the first 30 days. In this same study, each 5% decrease in LVEF was associated with a 21% increase in the risk of SCA during the first 30 days after a MI. </w:t>
      </w:r>
    </w:p>
    <w:p>
      <w:pPr>
        <w:pStyle w:val="TextBody"/>
        <w:bidi w:val="0"/>
        <w:spacing w:before="240" w:after="0"/>
        <w:jc w:val="left"/>
        <w:rPr>
          <w:rFonts w:ascii="Times New Roman" w:hAnsi="Times New Roman"/>
          <w:i/>
          <w:sz w:val="20"/>
        </w:rPr>
      </w:pPr>
      <w:r>
        <w:rPr>
          <w:rFonts w:ascii="Times New Roman" w:hAnsi="Times New Roman"/>
          <w:i/>
          <w:sz w:val="20"/>
        </w:rPr>
        <w:t xml:space="preserve">Overview of Arrhythmias </w:t>
      </w:r>
    </w:p>
    <w:p>
      <w:pPr>
        <w:pStyle w:val="TextBody"/>
        <w:bidi w:val="0"/>
        <w:spacing w:before="240" w:after="0"/>
        <w:jc w:val="left"/>
        <w:rPr>
          <w:rFonts w:ascii="Times New Roman" w:hAnsi="Times New Roman"/>
          <w:sz w:val="20"/>
        </w:rPr>
      </w:pPr>
      <w:r>
        <w:rPr>
          <w:rFonts w:ascii="Times New Roman" w:hAnsi="Times New Roman"/>
          <w:sz w:val="20"/>
        </w:rPr>
        <w:t xml:space="preserve">The normal human heart has four chambers, consisting of two atria and two ventricles, which on average expand and contract over 100,000 times each day. The walls of the atria and the ventricles are made up of cardiac muscle, which contracts rhythmically when stimulated by an electrical current. Normally, the heartbeat starts in the right atrium when a specialized group of cells that serve as the hearts natural pacemaker send an electrical signal. This signal spreads through the atria and then moves to the ventricles, causing the atria to contract a fraction of a second before the ventricles. This pattern allows the heart to pump blood to the lungs and the rest of the body. </w:t>
      </w:r>
    </w:p>
    <w:p>
      <w:pPr>
        <w:pStyle w:val="TextBody"/>
        <w:bidi w:val="0"/>
        <w:spacing w:before="240" w:after="0"/>
        <w:jc w:val="left"/>
        <w:rPr>
          <w:rFonts w:ascii="Times New Roman" w:hAnsi="Times New Roman"/>
          <w:sz w:val="20"/>
        </w:rPr>
      </w:pPr>
      <w:r>
        <w:rPr>
          <w:rFonts w:ascii="Times New Roman" w:hAnsi="Times New Roman"/>
          <w:sz w:val="20"/>
        </w:rPr>
        <w:t xml:space="preserve">Arrhythmias are abnormal rhythms of the heart that can disrupt normal blood flow. The heart may beat too fast, too slow or beat irregularly. Arrhythmias may be caused by a number of factors, including, certain cardiac disease or cardiac events, congenital heart problems, side effects of medications and lifestyle choices. The two main types of arrhythmias causing SCA are ventricular fibrillation and ventricular tachycardia.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Ventricular Fibrillation</w:t>
            </w:r>
            <w:r>
              <w:rPr>
                <w:rFonts w:ascii="Times New Roman" w:hAnsi="Times New Roman"/>
                <w:i/>
                <w:sz w:val="20"/>
              </w:rPr>
              <w:t xml:space="preserve">. </w:t>
            </w:r>
            <w:r>
              <w:rPr>
                <w:rFonts w:ascii="Times New Roman" w:hAnsi="Times New Roman"/>
                <w:sz w:val="20"/>
              </w:rPr>
              <w:t xml:space="preserve">VF is a condition in which disorganized electrical activity causes the ventricles to contract in a rapid and uncoordinated fashion, resulting in an insufficient amount of blood being pumped from the heart. Ventricular fibrillation is the most common type of arrhythmia thought to cause SCA and often occurs without warning. The only accepted treatment for ventricular fibrillation is defibrillation, in which electrical current is delivered to the heart to stop the fibrillation and permit the return of coordinated cardiac contractions.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Ventricular Tachycardia</w:t>
            </w:r>
            <w:r>
              <w:rPr>
                <w:rFonts w:ascii="Times New Roman" w:hAnsi="Times New Roman"/>
                <w:i/>
                <w:sz w:val="20"/>
              </w:rPr>
              <w:t>.</w:t>
            </w:r>
            <w:r>
              <w:rPr>
                <w:rFonts w:ascii="Times New Roman" w:hAnsi="Times New Roman"/>
                <w:sz w:val="20"/>
              </w:rPr>
              <w:t xml:space="preserve"> VT is a fast heart rate that starts in the hearts lower chambers. This type of arrhythmia may be life- threatening, requiring immediate diagnosis and treatment. In cases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4"/>
        <w:gridCol w:w="8981"/>
      </w:tblGrid>
      <w:tr>
        <w:trPr/>
        <w:tc>
          <w:tcPr>
            <w:tcW w:w="1224" w:type="dxa"/>
            <w:tcBorders/>
            <w:vAlign w:val="center"/>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ventricular tachycardia, electrical signals in the hearts lower chambers fire abnormally, resulting in a faster than normal heart rate. This rapid heartbeat keeps the hearts chambers from filling completely between contractions, which compromises blood flow to the rest of the body. VT may self-terminate; however, prolonged VT can result in SCA unless treated by defibrillation.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WCD Therapy for Patients at Elevated Risk of SCA </w:t>
      </w:r>
    </w:p>
    <w:p>
      <w:pPr>
        <w:pStyle w:val="TextBody"/>
        <w:bidi w:val="0"/>
        <w:spacing w:before="240" w:after="0"/>
        <w:jc w:val="left"/>
        <w:rPr>
          <w:rFonts w:ascii="Times New Roman" w:hAnsi="Times New Roman"/>
          <w:sz w:val="20"/>
        </w:rPr>
      </w:pPr>
      <w:r>
        <w:rPr>
          <w:rFonts w:ascii="Times New Roman" w:hAnsi="Times New Roman"/>
          <w:sz w:val="20"/>
        </w:rPr>
        <w:t xml:space="preserve">A WCD is a wearable, non-invasive monitor and miniaturized automated external defibrillator intended to perform the same tasks as an ICD without the need for an invasive surgical procedure. WCDs can automatically detect SCA and, if needed, safely deliver a defibrillation shock to return the patients heart rhythm to normal, even when a patient is alone. A WCD is composed of a garment that is worn underneath regular clothing and a portable miniaturized automated defibrillator. Wires connect electrodes inside the garment to the monitor, which is carried in a small pack or shoulder bag. The electrodes continuously acquire a patients heart rate and rhythm for evaluation by the automated defibrillator. If the monitor detects a potentially life-threatening arrhythmia, the WCD first alerts the patient via an audible alarm and then administers a shock, if needed. </w:t>
      </w:r>
    </w:p>
    <w:p>
      <w:pPr>
        <w:pStyle w:val="TextBody"/>
        <w:bidi w:val="0"/>
        <w:spacing w:before="240" w:after="0"/>
        <w:jc w:val="left"/>
        <w:rPr>
          <w:rFonts w:ascii="Times New Roman" w:hAnsi="Times New Roman"/>
          <w:sz w:val="20"/>
        </w:rPr>
      </w:pPr>
      <w:r>
        <w:rPr>
          <w:rFonts w:ascii="Times New Roman" w:hAnsi="Times New Roman"/>
          <w:sz w:val="20"/>
        </w:rPr>
        <w:t xml:space="preserve">WCDs are proven to work when worn. The Vest Prevention of Early Sudden Death (VEST) trial, a randomized controlled trial sponsored by the National Institutes of Health and ZOLL, evaluated the survival benefit of WCD therapy in post-MI patients with an LVEF of 35% or less. This trial compared the competitor WCD with GDMT versus GDMT alone. Although the initial intention-to-treat analysis of the WCD therapy in the VEST study published in 2018 did not indicate a statistically significantly lower rate in sudden arrhythmic death when compared to GDMT alone, the as-treated analysis showed a significantly lower percentage of patients died when they were wearing the WCD than when they were not. This suggested that poor patient compliance with wearing the WCD was a primary driver of the intention-to-treat-results in which 75% percent of patients were not wearing the WCD at time of death. In addition, to assess the impact of early discontinuation of the WCD, investigators performed a subsequent per-protocol analysis which censored patients after they stopped wearing the WCD. This per-protocol analysis published in 2020 demonstrated a significant reduction in arrhythmic death (62%, p=0.02) and all-cause death (75%, p&lt;0.001) when comparing those patients who wore the WCD with those who did not wear the WCD. Similarly, registry studies have shown a survival rate of over 90% for SCA patients wearing a WCD after an appropriate shock. </w:t>
      </w:r>
    </w:p>
    <w:p>
      <w:pPr>
        <w:pStyle w:val="TextBody"/>
        <w:bidi w:val="0"/>
        <w:spacing w:before="240" w:after="0"/>
        <w:jc w:val="left"/>
        <w:rPr>
          <w:rFonts w:ascii="Times New Roman" w:hAnsi="Times New Roman"/>
          <w:sz w:val="20"/>
        </w:rPr>
      </w:pPr>
      <w:r>
        <w:rPr>
          <w:rFonts w:ascii="Times New Roman" w:hAnsi="Times New Roman"/>
          <w:sz w:val="20"/>
        </w:rPr>
        <w:t xml:space="preserve">WCDs are typically prescribed to patients immediately following an MI or heart failure diagnosis and serve as a bridge to recovery between the cardiac event and a longer-term treatment regimen. During this period, healthcare providers will optimize the patients medical therapy while also waiting to see if the patients LVEF improves. The expected wear duration of the WCD varies based on the patient indication, with the majority of our patients being prescribed the WCD for three months or longer. </w:t>
      </w:r>
    </w:p>
    <w:p>
      <w:pPr>
        <w:pStyle w:val="TextBody"/>
        <w:bidi w:val="0"/>
        <w:spacing w:before="240" w:after="0"/>
        <w:jc w:val="left"/>
        <w:rPr>
          <w:rFonts w:ascii="Times New Roman" w:hAnsi="Times New Roman"/>
          <w:sz w:val="20"/>
        </w:rPr>
      </w:pPr>
      <w:r>
        <w:rPr>
          <w:rFonts w:ascii="Times New Roman" w:hAnsi="Times New Roman"/>
          <w:sz w:val="20"/>
        </w:rPr>
        <w:t xml:space="preserve">The average age of our patients prescribed a WCD is 65 years. The population of patients indicated and eligible for receiving WCDs can be split into three main groups: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Newly diagnosed heart failure with low LVEF. </w:t>
            </w:r>
            <w:r>
              <w:rPr>
                <w:rFonts w:ascii="Times New Roman" w:hAnsi="Times New Roman"/>
                <w:sz w:val="20"/>
              </w:rPr>
              <w:t xml:space="preserve">These patients represent approximately 56% of the addressable market at elevated risk for SCA. Current guidelines require a waiting period of three months before this patient population is eligible to be evaluated for an ICD. During this period, patients are typically treated with GDMT, which consists of a combination of up to four main drug classes. After three months, the patients LVEF should be reassessed. If the patients LVEF improves above 35%, neither the WCD nor an ICD is indicated. If the patients LVEF remains at or below 35%, the patient may receive an ICD (per the current guidelines), or their healthcare provider may decide to continue with GDMT and the WCD while their heart continues to remodel. The expected WCD wear duration for patients in this population is three months or greater. According to the Heart Failure Society of America, approximately 6.7 million Americans over 20 years of age have heart failure, and the prevalence is expected to continue to rise. Of the newly diagnosed heart failure patients each year, approximately 50% have a low LVEF.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Post MI with low LVEF. </w:t>
            </w:r>
            <w:r>
              <w:rPr>
                <w:rFonts w:ascii="Times New Roman" w:hAnsi="Times New Roman"/>
                <w:sz w:val="20"/>
              </w:rPr>
              <w:t xml:space="preserve">These patients represent approximately 38% of the addressable market at elevated risk for SCA. Current guidelines require an ICD waiting period of 40 days post MI or 90 days post coronary revascularization. Coronary revascularization includes procedures such as percutaneous coronary intervention, which is a minimally invasive procedure that restores blood flow from the inside using balloon catheters or stents, or coronary artery bypass grafting, which is a surgery where a provider creates a bypass around a blocked section of an artery. The expected WCD wear duration for patients in this population is 40 days or greater.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Other.</w:t>
            </w:r>
            <w:r>
              <w:rPr>
                <w:rFonts w:ascii="Times New Roman" w:hAnsi="Times New Roman"/>
                <w:sz w:val="20"/>
              </w:rPr>
              <w:t xml:space="preserve"> These patients represent approximately 6% of the addressable market and include patients with documented VT/VF, those indicated for an ICD but who have a contraindication to immediate placement, such as an infection or extraction, and patients with an inherited genetic condition. As there is no waiting period mandated by current guidelines for these indications, the expected WCD wear duration for patients in this population is variable, but likely less than 60 days.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Limitations of the Legacy, Commercially Available WCD </w:t>
      </w:r>
    </w:p>
    <w:p>
      <w:pPr>
        <w:pStyle w:val="TextBody"/>
        <w:bidi w:val="0"/>
        <w:spacing w:before="240" w:after="0"/>
        <w:jc w:val="left"/>
        <w:rPr>
          <w:rFonts w:ascii="Times New Roman" w:hAnsi="Times New Roman"/>
          <w:sz w:val="20"/>
        </w:rPr>
      </w:pPr>
      <w:r>
        <w:rPr>
          <w:rFonts w:ascii="Times New Roman" w:hAnsi="Times New Roman"/>
          <w:sz w:val="20"/>
        </w:rPr>
        <w:t xml:space="preserve">The WCD is indicated for use in patients who are at risk for SCA and are not candidates for, or refuse, an ICD. However, limitations of the only other commercially available WCD, such as patient comfort and false alarm rate, as well as gaps in awareness by healthcare providers of its broader diagnostic utility have led to underutilization of the therapy. Many indicated patients do not receive a prescription and some choose not to wear a WCD. Patients who choose not to wear a WCD are often left reliant on first responders or EMS in the event of a SCA. This reliance poses a significant risk, as only 16% of sudden cardiac events occur in public places where an automated external defibrillator might be available according to the American Heart Association. Based on data from the American Medical Association, the average time for EMS arrival is 7 minutes from the time of a 911 call, and often longer in rural communities. During this critical time, survival rates decline by 7% to 10% for every minute that passes. </w:t>
      </w:r>
    </w:p>
    <w:p>
      <w:pPr>
        <w:pStyle w:val="TextBody"/>
        <w:bidi w:val="0"/>
        <w:spacing w:before="240" w:after="0"/>
        <w:jc w:val="left"/>
        <w:rPr>
          <w:rFonts w:ascii="Times New Roman" w:hAnsi="Times New Roman"/>
          <w:sz w:val="20"/>
        </w:rPr>
      </w:pPr>
      <w:r>
        <w:rPr>
          <w:rFonts w:ascii="Times New Roman" w:hAnsi="Times New Roman"/>
          <w:sz w:val="20"/>
        </w:rPr>
        <w:t xml:space="preserve">This underutilization is reflected in the findings of the VEST trial, where 34% of patients had a median daily wear time of zero hoursindicating patients fully opted out of potentially life-saving therapy rather than wear the product. These results highlight the critical impact of patient compliance on WCD therapy and underscore the need for solutions that address the barriers preventing consistent wear. In feedback we have collected through directly engaging with patients and providers and customer feedback on public platforms, commonly cited reasons for patients or providers failing to use the LifeVest WCD on a consistent basis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2"/>
        <w:gridCol w:w="8983"/>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High frequency of false positive shock alarms.</w:t>
            </w:r>
            <w:r>
              <w:rPr>
                <w:rFonts w:ascii="Times New Roman" w:hAnsi="Times New Roman"/>
                <w:sz w:val="20"/>
              </w:rPr>
              <w:t xml:space="preserve"> Prior to delivering a therapeutic shock, a WCD sounds an alarm that alerts the patient that a shock is about to be delivered. A false positive shock alarm occurs when the device detects a signal and mistakenly classifies it as a shockable rhythm. For the LifeVest WCD, this may occur due to noisy ECG channels resulting from a poor fit or from very fast non-shockable rhythms. False alarms are common with the LifeVest WCD and typically contribute to added anxiety for patients, sleep disturbances and restriction of daily routines. High false alarms also lead to patient frustration that may result in unnecessary calls to the prescribing provider. Even after recent algorithm design updates, the competitor reported that 46% of patients wearing their WCD still experienced false alarms. In addition, we believe that the interface of the LifeVest WCD is cumbersome, requiring the user to locate the monitor and press two buttons simultaneously to divert a shock during a false alarm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Discomfort and unisex-only garment. </w:t>
            </w:r>
            <w:r>
              <w:rPr>
                <w:rFonts w:ascii="Times New Roman" w:hAnsi="Times New Roman"/>
                <w:sz w:val="20"/>
              </w:rPr>
              <w:t xml:space="preserve">The LifeVest WCD only comes in one style, intended to fit both genders, which has been reported to cause significant discomfort, especially for women given many must wear a bra over the garment, based on feedback we have collected through directly engaging with patients and providers and customer feedback on public platforms. Additionally, poorly fitting garments combined with ECG sensors attached by Velcro fasteners can lead to the electrodes digging into the patients skin or flipping over, exacerbating discomfort and poor ECG contact.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ECG noise and low utility data. </w:t>
            </w:r>
            <w:r>
              <w:rPr>
                <w:rFonts w:ascii="Times New Roman" w:hAnsi="Times New Roman"/>
                <w:sz w:val="20"/>
              </w:rPr>
              <w:t xml:space="preserve">Poor fit and ECG contact with only two channels may result in noisy ECG data, which in turn may contribute to false alarms and may limit the diagnostic utility of the LifeVest WCD remote monitoring functionality.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1"/>
        <w:gridCol w:w="8984"/>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Limited connectivity with patient.</w:t>
            </w:r>
            <w:r>
              <w:rPr>
                <w:rFonts w:ascii="Times New Roman" w:hAnsi="Times New Roman"/>
                <w:sz w:val="20"/>
              </w:rPr>
              <w:t xml:space="preserve"> Patient connectivity is critical because it fosters ongoing engagement with the patient to improve compliance and ensures clinically-actionable data is transferred to healthcare providers in a consistent, timely, and easy manner. According to the LifeVest 5100 WCD operating manual, although the monitor contains a cell phone module for data transmission, patient data is generally only uploaded once per day, potentially reducing the diagnostic utility of patient data.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Our Solution </w:t>
      </w:r>
    </w:p>
    <w:p>
      <w:pPr>
        <w:pStyle w:val="TextBody"/>
        <w:bidi w:val="0"/>
        <w:spacing w:before="240" w:after="0"/>
        <w:jc w:val="left"/>
        <w:rPr>
          <w:rFonts w:ascii="Times New Roman" w:hAnsi="Times New Roman"/>
          <w:sz w:val="20"/>
        </w:rPr>
      </w:pPr>
      <w:r>
        <w:rPr>
          <w:rFonts w:ascii="Times New Roman" w:hAnsi="Times New Roman"/>
          <w:sz w:val="20"/>
        </w:rPr>
        <w:t xml:space="preserve">The ASSURE WCD is the cornerstone of our Cardiac Recovery System platform, a robust and extensible system integrating therapy, monitoring, and digital health solutions that represents the future of cardiac care. As a next generation of WCD therapy, the ASSURE WCD delivers a safe and effective solution for patients and was intentionally designed to enhance patient comfort and compliance and successfully resolve the key barriers to adoption associated with the only other commercially available WCD. The ASSURE WCD received FDA approval on July 27, 2021 for adult patients at elevated risk of SCA who are not candidates for, or decline, an ICD. As of January 31, 2025, the ASSURE WCD is actively being prescribed by more than 550 hospitals and has been worn by over 17,000 patients.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ASSURE WCD, our Cardiac Recovery System platform includes fully integrated digital solutions and services such as the ASSURE patient application, Kestra CareStation remote patient data platform, Heart Alert Services, and ASSURE Assist services, as well as the recently launched ASSURE wearable ECG. Cleared by the FDA on May 7, 2024, the ASSURE wearable ECG provides extended monitoring and valuable insights into a patients heart function after they are no longer indicated for a WCD. This non-therapeutic platform supports cardiac recovery monitoring using many of the same familiar features as the ASSURE WCD, ensuring continuity and ease of use for both patients and clinicians.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describe the several components of the ASSURE WCD, ASSURE wearable ECG and digital solutions and services that are all integrated and included as part of our Cardiac Recovery System platform. </w:t>
      </w:r>
    </w:p>
    <w:p>
      <w:pPr>
        <w:pStyle w:val="TextBody"/>
        <w:bidi w:val="0"/>
        <w:spacing w:before="240" w:after="0"/>
        <w:jc w:val="left"/>
        <w:rPr>
          <w:rFonts w:ascii="Times New Roman" w:hAnsi="Times New Roman"/>
          <w:b/>
          <w:i/>
          <w:sz w:val="20"/>
        </w:rPr>
      </w:pPr>
      <w:r>
        <w:rPr>
          <w:rFonts w:ascii="Times New Roman" w:hAnsi="Times New Roman"/>
          <w:b/>
          <w:i/>
          <w:sz w:val="20"/>
        </w:rPr>
        <w:t xml:space="preserve">Wearable Components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SensorFit</w:t>
            </w:r>
            <w:r>
              <w:rPr>
                <w:rFonts w:ascii="Times New Roman" w:hAnsi="Times New Roman"/>
                <w:sz w:val="20"/>
              </w:rPr>
              <w:t xml:space="preserve"> </w:t>
            </w:r>
            <w:r>
              <w:rPr>
                <w:rFonts w:ascii="Times New Roman" w:hAnsi="Times New Roman"/>
                <w:b/>
                <w:i/>
                <w:sz w:val="20"/>
              </w:rPr>
              <w:t xml:space="preserve">Garment. </w:t>
            </w:r>
            <w:r>
              <w:rPr>
                <w:rFonts w:ascii="Times New Roman" w:hAnsi="Times New Roman"/>
                <w:sz w:val="20"/>
              </w:rPr>
              <w:t xml:space="preserve">A breathable, lightweight fabric garment with embedded, non-adhesive, cushioned ECG sensors designed to move with the patient and capture high fidelity ECG signals. The SensorFit Garment was developed with an athletic and sportswear designer and is available in two styles and multiple sizes, intentionally designed to fit different gender and body types. The SensorFit Garment can be worn with both the ASSURE WCD and the ASSURE wearable ECG.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Monitor. </w:t>
            </w:r>
            <w:r>
              <w:rPr>
                <w:rFonts w:ascii="Times New Roman" w:hAnsi="Times New Roman"/>
                <w:sz w:val="20"/>
              </w:rPr>
              <w:t xml:space="preserve">The primary electronic component that controls overall system operation and delivers 170J biphasic defibrillation therapy. The monitor leverages four channels of high-fidelity ECG signalsan industry firstto detect heart arrhythmia and, if needed, quickly and autonomously deliver appropriate electric defibrillation therapy to restore normal heart rhythm. It is powered by a rechargeable lithium-ion battery pack with two batteries, each having a minimum runtime of 24 hours. The ASSURE wearable ECG includes a separate compact monitor that fits into the existing SensorFit Garment.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Therapy Cable.</w:t>
            </w:r>
            <w:r>
              <w:rPr>
                <w:rFonts w:ascii="Times New Roman" w:hAnsi="Times New Roman"/>
                <w:sz w:val="20"/>
              </w:rPr>
              <w:t xml:space="preserve"> The ASSURE WCD includes a custom reusable cable that securely connects the garment to the monitor. This cable facilitates the integration of three defibrillation pads, which snap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23"/>
        <w:gridCol w:w="8982"/>
      </w:tblGrid>
      <w:tr>
        <w:trPr/>
        <w:tc>
          <w:tcPr>
            <w:tcW w:w="1223" w:type="dxa"/>
            <w:tcBorders/>
            <w:vAlign w:val="center"/>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into conductive mesh pockets in the garment and release a defibrillation gel onto the patients skin to prepare for the delivery of a defibrillation shock. Additionally, the system features the HeartPoint Alert Button, which attaches to the left or right shoulder strap of the garment. This button provides both tactile and audible feedback, allowing patients to check device status or divert a shock from an ergonomic location. Patients can also use the button to trigger a recording of their heart rhythm when experiencing symptoms like VT induced rapid heartrate, with the data becoming accessible to their care teams via the Kestra CareStation remote patient data platform. The ASSURE wearable ECG is equipped with a separate cable that connects the ECG front-end monitor to the portable battery pack. Both components fit seamlessly into the existing pockets of the SensorFit Garment, ensuring ease of integration and usability.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Accessories for the Patient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Charger. </w:t>
            </w:r>
            <w:r>
              <w:rPr>
                <w:rFonts w:ascii="Times New Roman" w:hAnsi="Times New Roman"/>
                <w:sz w:val="20"/>
              </w:rPr>
              <w:t xml:space="preserve">Table-top charging station for the monitors lithium-ion batteries. Also includes a USB port and a stand for charging mobile devices.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Carry Pack.</w:t>
            </w:r>
            <w:r>
              <w:rPr>
                <w:rFonts w:ascii="Times New Roman" w:hAnsi="Times New Roman"/>
                <w:sz w:val="20"/>
              </w:rPr>
              <w:t xml:space="preserve"> A wearable case designed to hold the monitor that can be worn easily clipped to a belt, around the waist, or over the shoulder to adapt to the patients lifestyle.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Provider and Patient Care Specialist Tools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Programming Tablet. </w:t>
            </w:r>
            <w:r>
              <w:rPr>
                <w:rFonts w:ascii="Times New Roman" w:hAnsi="Times New Roman"/>
                <w:sz w:val="20"/>
              </w:rPr>
              <w:t xml:space="preserve">Used by our patient care specialist during the fitting and training process to program our ASSURE WCD for patient use. Wirelessly connects to the monitor to configure the system according to the patients prescription and receives patient physiological data collected by the ECG electrodes to assess real-time electrode contact. This technology is a key tool used to ensure proper patient application during the fitting process.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Integrated Digital Solutions and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Downloadable ASSURE</w:t>
            </w:r>
            <w:r>
              <w:rPr>
                <w:rFonts w:ascii="Times New Roman" w:hAnsi="Times New Roman"/>
                <w:sz w:val="20"/>
              </w:rPr>
              <w:t xml:space="preserve"> </w:t>
            </w:r>
            <w:r>
              <w:rPr>
                <w:rFonts w:ascii="Times New Roman" w:hAnsi="Times New Roman"/>
                <w:b/>
                <w:i/>
                <w:sz w:val="20"/>
              </w:rPr>
              <w:t xml:space="preserve">Patient App. </w:t>
            </w:r>
            <w:r>
              <w:rPr>
                <w:rFonts w:ascii="Times New Roman" w:hAnsi="Times New Roman"/>
                <w:sz w:val="20"/>
              </w:rPr>
              <w:t xml:space="preserve">Transmits key patient data to the Company and care teams automatically and enables patients to track their physical activity and usage, record symptoms, watch educational videos, and access troubleshooting assistance.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Kestra CareStation Remote Patient Data Platform. </w:t>
            </w:r>
            <w:r>
              <w:rPr>
                <w:rFonts w:ascii="Times New Roman" w:hAnsi="Times New Roman"/>
                <w:sz w:val="20"/>
              </w:rPr>
              <w:t xml:space="preserve">Available to healthcare professionals who follow patients wearing our ASSURE WCD and ASSURE wearable ECG. The Kestra CareStation remote patient data platform is a cloud-based monitoring platform that summarizes relevant patient data for healthcare providers, enabling them to conveniently track patient progress, receive configured alerts and notifications, and to bill Remote Physiologic Monitoring CPT codes.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ASSURE Assist Services. </w:t>
            </w:r>
            <w:r>
              <w:rPr>
                <w:rFonts w:ascii="Times New Roman" w:hAnsi="Times New Roman"/>
                <w:sz w:val="20"/>
              </w:rPr>
              <w:t xml:space="preserve">Provides additional support for patients who experience a life-threatening heart rhythm by sending an alert via the ASSURE patient application to an EMS operator after a defibrillation shock or a high-rate heart event. The EMS operator attempts to contact the patient to determine if additional help is required and, if needed, may dispatch EMS to the patients 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Heart Alert Services. </w:t>
            </w:r>
            <w:r>
              <w:rPr>
                <w:rFonts w:ascii="Times New Roman" w:hAnsi="Times New Roman"/>
                <w:sz w:val="20"/>
              </w:rPr>
              <w:t xml:space="preserve">Remote cardiac patient monitoring that enables timely identification of clinically significant arrhythmias, physiologic trends and other device alerts that may warrant intervention. This service is administered by a team of our cardiac device specialists utilizing the Kestra CareStation remote patient data platform.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1247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0" cy="1247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Key Benefits of Our Solution </w:t>
      </w:r>
    </w:p>
    <w:p>
      <w:pPr>
        <w:pStyle w:val="TextBody"/>
        <w:bidi w:val="0"/>
        <w:spacing w:before="240" w:after="0"/>
        <w:jc w:val="left"/>
        <w:rPr>
          <w:rFonts w:ascii="Times New Roman" w:hAnsi="Times New Roman"/>
          <w:sz w:val="20"/>
        </w:rPr>
      </w:pPr>
      <w:r>
        <w:rPr>
          <w:rFonts w:ascii="Times New Roman" w:hAnsi="Times New Roman"/>
          <w:sz w:val="20"/>
        </w:rPr>
        <w:t xml:space="preserve">Our Cardiac Recovery System platform offers notable benefits and an improved user-experience that differentiates it from the only other commercially available WCD. These benefits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b/>
                <w:i/>
                <w:sz w:val="20"/>
              </w:rPr>
              <w:t>Modern and advanced design to improve comfort, performance and maximize wearability.</w:t>
            </w:r>
            <w:r>
              <w:rPr>
                <w:rFonts w:ascii="Times New Roman" w:hAnsi="Times New Roman"/>
                <w:sz w:val="20"/>
              </w:rPr>
              <w:t xml:space="preserve"> The design of our garments incorporates advancements in electronics, mobile technology, signal processing techniques, and fabrics. The garments were developed with an athletic and sportswear designer and are tailored for body inclusivity, offering two styles and a wide range of sizes. We believe that having separate, gender-specific designs is particularly important given women make up approximately 40% of SCA patients. Overall wearability is further supported by the results of our post-approval study which demonstrates a median wear time of greater than 23 hours per day. In addition to improving comfort and wearability, our unique garment design incorporates cushioned electrodes that are embedded in the fabric to improve electrode contact and, ultimately, improve ECG signal quality.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High fidelity ECG leading to</w:t>
            </w:r>
            <w:r>
              <w:rPr>
                <w:rFonts w:ascii="Times New Roman" w:hAnsi="Times New Roman"/>
                <w:sz w:val="20"/>
              </w:rPr>
              <w:t xml:space="preserve"> </w:t>
            </w:r>
            <w:r>
              <w:rPr>
                <w:rFonts w:ascii="Times New Roman" w:hAnsi="Times New Roman"/>
                <w:b/>
                <w:i/>
                <w:sz w:val="20"/>
              </w:rPr>
              <w:t>fewer</w:t>
            </w:r>
            <w:r>
              <w:rPr>
                <w:rFonts w:ascii="Times New Roman" w:hAnsi="Times New Roman"/>
                <w:sz w:val="20"/>
              </w:rPr>
              <w:t xml:space="preserve"> </w:t>
            </w:r>
            <w:r>
              <w:rPr>
                <w:rFonts w:ascii="Times New Roman" w:hAnsi="Times New Roman"/>
                <w:b/>
                <w:i/>
                <w:sz w:val="20"/>
              </w:rPr>
              <w:t>false</w:t>
            </w:r>
            <w:r>
              <w:rPr>
                <w:rFonts w:ascii="Times New Roman" w:hAnsi="Times New Roman"/>
                <w:sz w:val="20"/>
              </w:rPr>
              <w:t xml:space="preserve"> </w:t>
            </w:r>
            <w:r>
              <w:rPr>
                <w:rFonts w:ascii="Times New Roman" w:hAnsi="Times New Roman"/>
                <w:b/>
                <w:i/>
                <w:sz w:val="20"/>
              </w:rPr>
              <w:t>alarms.</w:t>
            </w:r>
            <w:r>
              <w:rPr>
                <w:rFonts w:ascii="Times New Roman" w:hAnsi="Times New Roman"/>
                <w:sz w:val="20"/>
              </w:rPr>
              <w:t xml:space="preserve"> The ASSURE WCD is designed to minimize false alarms. The overall level of noise is reduced through use of resistive ECG electrodes that arrhythmias are cushioned and securely bonded to the fabric, custom shielded cables, and isolation circuitry. The ASSURE WCD also utilizes four channels of high-quality ECG, combined with API, a proprietary technology that adapts to the patient heart rhythm to filter out artifacts and improve performance even in a noisy environment. According to the Journal of Interventional Cardiac Electrophysiology Study, as a result of these features, only 6% of our patients experience a false alarm, compared to 46% for the competitors device. Reduction in false alarms may lead to lower patient anxiety, improved patient satisfaction and increased patient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Product innovations and integrated digital solutions and services supporting the patient throughout the cardiac care continuum. </w:t>
            </w:r>
            <w:r>
              <w:rPr>
                <w:rFonts w:ascii="Times New Roman" w:hAnsi="Times New Roman"/>
                <w:sz w:val="20"/>
              </w:rPr>
              <w:t xml:space="preserve">Our Cardiac Recovery System platform represents a comprehensive suite of proprietary wearable and fully integrated digital solutions and services for monitoring, diagnosing, and protecting patients through their cardiac recovery journey. We believe our Cardiac Recovery System platform represents a competitive advantage, with the goal of ultimately improving the prescriber and patient experience, maximizing patient comfort and compliance, and increasing adoption of our system. In addition, our Cardiac Recovery System platforms capabilities allow healthcare providers to identify other clinically significant arrhythmias.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i/>
                <w:sz w:val="20"/>
              </w:rPr>
              <w:t>Improved energy delivery to enhance efficacy and safety.</w:t>
            </w:r>
            <w:r>
              <w:rPr>
                <w:rFonts w:ascii="Times New Roman" w:hAnsi="Times New Roman"/>
                <w:sz w:val="20"/>
              </w:rPr>
              <w:t xml:space="preserve"> The ASSURE WCD delivers a 170 joule shock to better serve patients with higher defibrillation thresholds, compared to the competitor device which delivers a 150 joule shock. In addition, our system has a minimum defibrillation capacity of 25 shocks, providing a significant safety buffer for patients experiencing multiple cardiac events within a short time period, such as a VT storm, where a patient experiences multiple episodes of sustained VT within a short period of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Treatment with the ASSURE WCD </w:t>
      </w:r>
    </w:p>
    <w:p>
      <w:pPr>
        <w:pStyle w:val="TextBody"/>
        <w:bidi w:val="0"/>
        <w:spacing w:before="240" w:after="0"/>
        <w:jc w:val="left"/>
        <w:rPr>
          <w:rFonts w:ascii="Times New Roman" w:hAnsi="Times New Roman"/>
          <w:sz w:val="20"/>
        </w:rPr>
      </w:pPr>
      <w:r>
        <w:rPr>
          <w:rFonts w:ascii="Times New Roman" w:hAnsi="Times New Roman"/>
          <w:sz w:val="20"/>
        </w:rPr>
        <w:t xml:space="preserve">WCDs are generally prescribed by a general cardiologist, interventional cardiologist, cardiac electrophysiologist, cardiothoracic surgeon, hospitalist, nurse practitioner or physicians assistant. The healthcare provider determines the prescription length of a WCD. Once prescribed, we are responsible for the product delivery and can support fitting and training of the patient within 24 hours of the prescription. </w:t>
      </w:r>
    </w:p>
    <w:p>
      <w:pPr>
        <w:pStyle w:val="TextBody"/>
        <w:bidi w:val="0"/>
        <w:spacing w:before="240" w:after="0"/>
        <w:jc w:val="left"/>
        <w:rPr>
          <w:rFonts w:ascii="Times New Roman" w:hAnsi="Times New Roman"/>
          <w:sz w:val="20"/>
        </w:rPr>
      </w:pPr>
      <w:r>
        <w:rPr>
          <w:rFonts w:ascii="Times New Roman" w:hAnsi="Times New Roman"/>
          <w:sz w:val="20"/>
        </w:rPr>
        <w:t xml:space="preserve">The ASSURE WCD is intended to be continuously worn (except when bathing or showering), and can be easily removed and put back on by the patient. Patients receive two batteries for the monitor with a minimum runtime of approximately 24 hours. Patients are instructed to always charge one battery, replacing the monitors battery at the end of each day. The patient is also typically provided two SensorFit Garments so they can remain protected while washing one of the garments. Our ASSURE WCD is designed to detect life-threatening rapid heart rhythms, specifically VF and VT, above a heart rate threshold programmable by the clinician. If the system determines a shock is needed to correct a heart rhythm, it will first vibrate and emit an audible alert notifying the patient they are about to receive a shock. If the patient does not respond by pressing the HeartPoint Alert Button, gel is released from the defibrillation pads onto the patients back and chest, and a shock is delivered to restore a normal heart rhythm without further interaction required from the patient or bystander. The ASSURE WCD will continue to analyze the patients heart rhythm and administer additional shocks, if needed. After a shock is delivered, we offer an additional layer of support for the patient through our ASSURE Assist services, which enables us to connect with the patient, a designated caregiver, or 911 emergency services. Our ASSURE WCD also analyzes the patients heart rate for very slow rhythms. When certain non-shockable rhythms are detected, the rhythm is recorded, and an alert sequence is initiated to attract bystander attention, instructing them to call 911 and perform cardiopulmonary resuscitation. </w:t>
      </w:r>
    </w:p>
    <w:p>
      <w:pPr>
        <w:pStyle w:val="TextBody"/>
        <w:bidi w:val="0"/>
        <w:spacing w:before="240" w:after="0"/>
        <w:jc w:val="left"/>
        <w:rPr>
          <w:rFonts w:ascii="Times New Roman" w:hAnsi="Times New Roman"/>
          <w:sz w:val="20"/>
        </w:rPr>
      </w:pPr>
      <w:r>
        <w:rPr>
          <w:rFonts w:ascii="Times New Roman" w:hAnsi="Times New Roman"/>
          <w:sz w:val="20"/>
        </w:rPr>
        <w:t xml:space="preserve">At the conclusion of the wear period, the patient returns all components of the ASSURE WCD in a pre-paid shipping box that we supply. </w:t>
      </w:r>
    </w:p>
    <w:p>
      <w:pPr>
        <w:pStyle w:val="TextBody"/>
        <w:bidi w:val="0"/>
        <w:spacing w:before="240" w:after="0"/>
        <w:jc w:val="left"/>
        <w:rPr>
          <w:rFonts w:ascii="Times New Roman" w:hAnsi="Times New Roman"/>
          <w:b/>
          <w:sz w:val="20"/>
        </w:rPr>
      </w:pPr>
      <w:r>
        <w:rPr>
          <w:rFonts w:ascii="Times New Roman" w:hAnsi="Times New Roman"/>
          <w:b/>
          <w:sz w:val="20"/>
        </w:rPr>
        <w:t xml:space="preserve">Our Clinical Results and Studies </w:t>
      </w:r>
    </w:p>
    <w:p>
      <w:pPr>
        <w:pStyle w:val="TextBody"/>
        <w:bidi w:val="0"/>
        <w:spacing w:before="240" w:after="0"/>
        <w:jc w:val="left"/>
        <w:rPr>
          <w:rFonts w:ascii="Times New Roman" w:hAnsi="Times New Roman"/>
          <w:sz w:val="20"/>
        </w:rPr>
      </w:pPr>
      <w:r>
        <w:rPr>
          <w:rFonts w:ascii="Times New Roman" w:hAnsi="Times New Roman"/>
          <w:sz w:val="20"/>
        </w:rPr>
        <w:t xml:space="preserve">We are committed to generating clinical evidence to support the safety, efficacy and benefits of the ASSURE WCD, and we will continue to invest in developing clinical evidence to further demonstrate the advantages of our system. Preclinical and human clinical safety and effectiveness data provided the basis for PMA approval of the ASSURE WCD on July 27, 2021. The evidence included an extensive series of engineering verification tests and statistically robust animal studies, followed by two investigational device exemption (IDE) human trials, ACE-DETECT and ACE-CONVERT. These combined studies evaluated 143 elevated risk SCA patients in the U.S. Currently, we are conducting the ACE-PAS as part of a broader on-going ASSURE Patient Registry. The real-world evidence in connection with ACE-PAS is collected by demographic and clinical characteristics being abstracted from medical history records provided with the Durable Medical Equipment order for the ASSURE WCD. The detected arrhythmias are automatically stored by the ASSURE WCD and then adjudicated by clinical experts in electrophysiology to assess rhythm and shock efficacy, if applicable. Device usage, which is measured by minutes worn, is automatically stored by the ASSURE WCD. We believe this collection of real-world evidence will generate additional publications, continue to increase awareness of WCDs as a proven therapy for elevated risk cardiac patients and further demonstrate the clinical differentiation of our ASSURE WCD. </w:t>
      </w:r>
    </w:p>
    <w:p>
      <w:pPr>
        <w:pStyle w:val="TextBody"/>
        <w:bidi w:val="0"/>
        <w:spacing w:before="240" w:after="0"/>
        <w:jc w:val="left"/>
        <w:rPr>
          <w:rFonts w:ascii="Times New Roman" w:hAnsi="Times New Roman"/>
          <w:b/>
          <w:i/>
          <w:sz w:val="20"/>
        </w:rPr>
      </w:pPr>
      <w:r>
        <w:rPr>
          <w:rFonts w:ascii="Times New Roman" w:hAnsi="Times New Roman"/>
          <w:b/>
          <w:i/>
          <w:sz w:val="20"/>
        </w:rPr>
        <w:t xml:space="preserve">Overview of Our Sponsored Clinical Trials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ACE-DETECT Trial </w:t>
      </w:r>
    </w:p>
    <w:p>
      <w:pPr>
        <w:pStyle w:val="TextBody"/>
        <w:bidi w:val="0"/>
        <w:spacing w:before="240" w:after="0"/>
        <w:jc w:val="left"/>
        <w:rPr>
          <w:rFonts w:ascii="Times New Roman" w:hAnsi="Times New Roman"/>
          <w:sz w:val="20"/>
        </w:rPr>
      </w:pPr>
      <w:r>
        <w:rPr>
          <w:rFonts w:ascii="Times New Roman" w:hAnsi="Times New Roman"/>
          <w:sz w:val="20"/>
        </w:rPr>
        <w:t xml:space="preserve">The ASSURE WCD Clinical EvaluationDETECTion and Safety Study (ACE-DETECTNCT03887052) was a multi-center, prospective, nonrandomized study at 10 sites across the U.S. The studys primary purpose was to evaluate the false positive shock alarm rate in patients at elevated risk for SCA. Eligible patients were adults (≥18 years old) with LVEF ≤40% and an active ICD. Complete study design and results of ACE-DETECT were published by Poole et al. in the Journal of Cardiovascular Electrophysiology (2022), </w:t>
      </w:r>
      <w:r>
        <w:rPr>
          <w:rFonts w:ascii="Times New Roman" w:hAnsi="Times New Roman"/>
          <w:i/>
          <w:sz w:val="20"/>
        </w:rPr>
        <w:t>A Wearable Cardioverter Defibrillator</w:t>
      </w:r>
      <w:r>
        <w:rPr>
          <w:rFonts w:ascii="Times New Roman" w:hAnsi="Times New Roman"/>
          <w:sz w:val="20"/>
        </w:rPr>
        <w:t xml:space="preserve"> </w:t>
      </w:r>
      <w:r>
        <w:rPr>
          <w:rFonts w:ascii="Times New Roman" w:hAnsi="Times New Roman"/>
          <w:i/>
          <w:sz w:val="20"/>
        </w:rPr>
        <w:t>with a Low False Alarm Rate.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total of 130 patients were enrolled in the ACE-DETECT study. The mean age was 61.2 ± 11.4 years and a majority were male (69%). All patients had been diagnosed with a cardiomyopathy, most having severely reduced LVEF. A history of atrial fibrillation, atrial flutter or atrial tachycardia was present in nearly half of the patients and approximately half of the patients had VF/VT previously detected by their ICD. </w:t>
      </w:r>
    </w:p>
    <w:p>
      <w:pPr>
        <w:pStyle w:val="TextBody"/>
        <w:bidi w:val="0"/>
        <w:spacing w:before="240" w:after="0"/>
        <w:jc w:val="left"/>
        <w:rPr>
          <w:rFonts w:ascii="Times New Roman" w:hAnsi="Times New Roman"/>
          <w:sz w:val="20"/>
        </w:rPr>
      </w:pPr>
      <w:r>
        <w:rPr>
          <w:rFonts w:ascii="Times New Roman" w:hAnsi="Times New Roman"/>
          <w:sz w:val="20"/>
        </w:rPr>
        <w:t xml:space="preserve">WCD shock therapy and shock alarms were disabled, but shock alarm markers were recorded. WCD parameters were programmed to nominal settings and ICD parameters were left to the discretion of the investigator. Patients were asked to wear the ASSURE WCD as much as possible for 30 days with exceptions allowed for showering or bathing. Clinical follow-ups were conducted weekly via phone; patients returned for final follow-ups at the end of the 30-day period. Both the WCD and ICD were interrogated to collect all stored arrhythmia episodes. WCD data also captured minutes of wear per day. Patients separately reported their perceived discomfort for eight anatomical regions on the torso at baseline and final follow-up. Relative comfort and ease of use were assessed after wear by patients who had prior experience wearing the LifeVest WCD. </w:t>
      </w:r>
    </w:p>
    <w:p>
      <w:pPr>
        <w:pStyle w:val="TextBody"/>
        <w:bidi w:val="0"/>
        <w:spacing w:before="240" w:after="0"/>
        <w:jc w:val="left"/>
        <w:rPr>
          <w:rFonts w:ascii="Times New Roman" w:hAnsi="Times New Roman"/>
          <w:sz w:val="20"/>
        </w:rPr>
      </w:pPr>
      <w:r>
        <w:rPr>
          <w:rFonts w:ascii="Times New Roman" w:hAnsi="Times New Roman"/>
          <w:sz w:val="20"/>
        </w:rPr>
        <w:t xml:space="preserve">The primary endpoint was the false positive alarm rate compared to a pre-specified objective performance goal of 0.29 per patient-day. False positive alarms were defined as a WCD shock alarm event marker associated with a rhythm other than VF/VT. Other outcome measures included a summary of WCD and ICD detected episodes, patient use compliance and adverse events determined to be at least possibly related to the device. Other detected episode types included true positive alarms, true positive detections and missed events. </w:t>
      </w:r>
    </w:p>
    <w:p>
      <w:pPr>
        <w:pStyle w:val="TextBody"/>
        <w:bidi w:val="0"/>
        <w:spacing w:before="240" w:after="0"/>
        <w:jc w:val="left"/>
        <w:rPr>
          <w:rFonts w:ascii="Times New Roman" w:hAnsi="Times New Roman"/>
          <w:i/>
          <w:sz w:val="20"/>
        </w:rPr>
      </w:pPr>
      <w:r>
        <w:rPr>
          <w:rFonts w:ascii="Times New Roman" w:hAnsi="Times New Roman"/>
          <w:i/>
          <w:sz w:val="20"/>
        </w:rPr>
        <w:t xml:space="preserve">Results </w:t>
      </w:r>
    </w:p>
    <w:p>
      <w:pPr>
        <w:pStyle w:val="TextBody"/>
        <w:bidi w:val="0"/>
        <w:spacing w:before="240" w:after="0"/>
        <w:jc w:val="left"/>
        <w:rPr>
          <w:rFonts w:ascii="Times New Roman" w:hAnsi="Times New Roman"/>
          <w:sz w:val="20"/>
        </w:rPr>
      </w:pPr>
      <w:r>
        <w:rPr>
          <w:rFonts w:ascii="Times New Roman" w:hAnsi="Times New Roman"/>
          <w:sz w:val="20"/>
        </w:rPr>
        <w:t xml:space="preserve">The primary endpoint performance goal was achieved. Three false positive alarms occurred in the cohort of 130 patients over a total of 3,501 patient-days, or 9.6 years, of device exposure. The observed false positive alarm rate was 0.00075 per patient-day or one false positive alarm every 1,333 days. This was well below the pre-specified performance goal of 0.29 per patient-day (p&lt;0.001), equivalent to one false positive alarm every 3.5 days. </w:t>
      </w:r>
    </w:p>
    <w:p>
      <w:pPr>
        <w:pStyle w:val="TextBody"/>
        <w:bidi w:val="0"/>
        <w:spacing w:before="240" w:after="0"/>
        <w:jc w:val="left"/>
        <w:rPr>
          <w:rFonts w:ascii="Times New Roman" w:hAnsi="Times New Roman"/>
          <w:sz w:val="20"/>
        </w:rPr>
      </w:pPr>
      <w:r>
        <w:rPr>
          <w:rFonts w:ascii="Times New Roman" w:hAnsi="Times New Roman"/>
          <w:sz w:val="20"/>
        </w:rPr>
        <w:t xml:space="preserve">A total of 163 WCD episodes were recorded in 18 patients. Four of these episodes in three patients were adjudicated as VF/VT, true positive detections, and were also detected by the ICD. The remaining 159 WCD episodes in 17 patients were adjudicated as other rhythm with noise, uncertain rhythm with noise or atrial flutter without noise. Of the 159 WCD episodes, 156 closed before a shock alarm event marker was recorded because the noise was resolved, or the rhythm was determined to be non-shockable. In the remaining three episodes, a shock alarm event marker (false positive alarm) was recorded. Two of these episodes occurred during a ventricular paced rhythm in one patient and one during a sinus rhythm in another patient. </w:t>
      </w:r>
    </w:p>
    <w:p>
      <w:pPr>
        <w:pStyle w:val="TextBody"/>
        <w:bidi w:val="0"/>
        <w:spacing w:before="240" w:after="0"/>
        <w:jc w:val="left"/>
        <w:rPr>
          <w:rFonts w:ascii="Times New Roman" w:hAnsi="Times New Roman"/>
          <w:sz w:val="20"/>
        </w:rPr>
      </w:pPr>
      <w:r>
        <w:rPr>
          <w:rFonts w:ascii="Times New Roman" w:hAnsi="Times New Roman"/>
          <w:sz w:val="20"/>
        </w:rPr>
        <w:t xml:space="preserve">The ICDs detected a total of 106 episodes in 51 patients that were adjudicated as rhythm type VF/VT. These include the four WCD true positive detections discussed above, of which three received ICD therapy. The remaining 102 episodes were not detected by the WCD as they either did not have a duration of at least 20 seconds, or the rate was less than 170 bpm, which was below the programmed detection criteria. </w:t>
      </w:r>
    </w:p>
    <w:p>
      <w:pPr>
        <w:pStyle w:val="TextBody"/>
        <w:bidi w:val="0"/>
        <w:spacing w:before="240" w:after="0"/>
        <w:jc w:val="left"/>
        <w:rPr>
          <w:rFonts w:ascii="Times New Roman" w:hAnsi="Times New Roman"/>
          <w:i/>
          <w:sz w:val="20"/>
        </w:rPr>
      </w:pPr>
      <w:r>
        <w:rPr>
          <w:rFonts w:ascii="Times New Roman" w:hAnsi="Times New Roman"/>
          <w:i/>
          <w:sz w:val="20"/>
        </w:rPr>
        <w:t xml:space="preserve">Compliance </w:t>
      </w:r>
    </w:p>
    <w:p>
      <w:pPr>
        <w:pStyle w:val="TextBody"/>
        <w:bidi w:val="0"/>
        <w:spacing w:before="240" w:after="0"/>
        <w:jc w:val="left"/>
        <w:rPr>
          <w:rFonts w:ascii="Times New Roman" w:hAnsi="Times New Roman"/>
          <w:sz w:val="20"/>
        </w:rPr>
      </w:pPr>
      <w:r>
        <w:rPr>
          <w:rFonts w:ascii="Times New Roman" w:hAnsi="Times New Roman"/>
          <w:sz w:val="20"/>
        </w:rPr>
        <w:t xml:space="preserve">Patients were asked to wear our ASSURE WCD for a period of 30 days. Due to some patients returning our ASSURE WCD after the required 30-day period, patients wore our ASSURE WCD for a median of 31 days with a median daily use of 23 hours. Approximately 95% of patients had a median daily wear time of at least 22 hours. No significant differences were found in use by age or by sex. </w:t>
      </w:r>
    </w:p>
    <w:p>
      <w:pPr>
        <w:pStyle w:val="TextBody"/>
        <w:bidi w:val="0"/>
        <w:spacing w:before="240" w:after="0"/>
        <w:jc w:val="left"/>
        <w:rPr>
          <w:rFonts w:ascii="Times New Roman" w:hAnsi="Times New Roman"/>
          <w:i/>
          <w:sz w:val="20"/>
        </w:rPr>
      </w:pPr>
      <w:r>
        <w:rPr>
          <w:rFonts w:ascii="Times New Roman" w:hAnsi="Times New Roman"/>
          <w:i/>
          <w:sz w:val="20"/>
        </w:rPr>
        <w:t xml:space="preserve">Safety </w:t>
      </w:r>
    </w:p>
    <w:p>
      <w:pPr>
        <w:pStyle w:val="TextBody"/>
        <w:bidi w:val="0"/>
        <w:spacing w:before="240" w:after="0"/>
        <w:jc w:val="left"/>
        <w:rPr>
          <w:rFonts w:ascii="Times New Roman" w:hAnsi="Times New Roman"/>
          <w:sz w:val="20"/>
        </w:rPr>
      </w:pPr>
      <w:r>
        <w:rPr>
          <w:rFonts w:ascii="Times New Roman" w:hAnsi="Times New Roman"/>
          <w:sz w:val="20"/>
        </w:rPr>
        <w:t xml:space="preserve">None of the observed adverse events were classified as serious or unanticipated adverse effects. The most frequently reported events were mild skin irritation, followed by musculoskeletal-related complaints, such as muscle strain related to carrying the monitor. One patient reported severe musculoskeletal pain related to wearing the ASSURE WCD.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Comfort </w:t>
      </w:r>
    </w:p>
    <w:p>
      <w:pPr>
        <w:pStyle w:val="TextBody"/>
        <w:bidi w:val="0"/>
        <w:spacing w:before="240" w:after="0"/>
        <w:jc w:val="left"/>
        <w:rPr>
          <w:rFonts w:ascii="Times New Roman" w:hAnsi="Times New Roman"/>
          <w:sz w:val="20"/>
        </w:rPr>
      </w:pPr>
      <w:r>
        <w:rPr>
          <w:rFonts w:ascii="Times New Roman" w:hAnsi="Times New Roman"/>
          <w:sz w:val="20"/>
        </w:rPr>
        <w:t xml:space="preserve">Of the 130 patients enrolled, 127 completed the comfort survey at both the outset of the study, and at end of wear for eight anatomical regions on the torso. Of these 127, 89.0% reported no or slight discomfort at baseline, and 83.5% reported no or slight discomfort at end of wear. </w:t>
      </w:r>
    </w:p>
    <w:p>
      <w:pPr>
        <w:pStyle w:val="TextBody"/>
        <w:bidi w:val="0"/>
        <w:spacing w:before="240" w:after="0"/>
        <w:jc w:val="left"/>
        <w:rPr>
          <w:rFonts w:ascii="Times New Roman" w:hAnsi="Times New Roman"/>
          <w:sz w:val="20"/>
        </w:rPr>
      </w:pPr>
      <w:r>
        <w:rPr>
          <w:rFonts w:ascii="Times New Roman" w:hAnsi="Times New Roman"/>
          <w:sz w:val="20"/>
        </w:rPr>
        <w:t xml:space="preserve">Twenty-one of the 130 patients who participated in our ACE-DETECT clinical trial had previously worn the LifeVest WCD. Seventy-six percent (76%) of these patients reported that our ASSURE WCD was easier to use and more comfortable than the LifeVest WCD.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ACE-CONVERT Trial </w:t>
      </w:r>
    </w:p>
    <w:p>
      <w:pPr>
        <w:pStyle w:val="TextBody"/>
        <w:bidi w:val="0"/>
        <w:spacing w:before="240" w:after="0"/>
        <w:jc w:val="left"/>
        <w:rPr>
          <w:rFonts w:ascii="Times New Roman" w:hAnsi="Times New Roman"/>
          <w:sz w:val="20"/>
        </w:rPr>
      </w:pPr>
      <w:r>
        <w:rPr>
          <w:rFonts w:ascii="Times New Roman" w:hAnsi="Times New Roman"/>
          <w:sz w:val="20"/>
        </w:rPr>
        <w:t xml:space="preserve">The ASSURE WCD Clinical Evaluation  Conversion Efficacy Study (ACE-CONVERT- NCT04132466) was a prospective, nonrandomized study at two sites across the U.S. The trial was designed to evaluate shock conversion efficacy of the ASSURE WCD defibrillation waveform in humans. Eligible patients were adults (≥18 years old) undergoing electrophysiology procedures with planned induction of ventricular arrhythmias. Complete study design and results for ACE-CONVERT were published by Gleva et al. in the PLOS ONE journal (2023), </w:t>
      </w:r>
      <w:r>
        <w:rPr>
          <w:rFonts w:ascii="Times New Roman" w:hAnsi="Times New Roman"/>
          <w:i/>
          <w:sz w:val="20"/>
        </w:rPr>
        <w:t>Defibrillation</w:t>
      </w:r>
      <w:r>
        <w:rPr>
          <w:rFonts w:ascii="Times New Roman" w:hAnsi="Times New Roman"/>
          <w:sz w:val="20"/>
        </w:rPr>
        <w:t xml:space="preserve"> </w:t>
      </w:r>
      <w:r>
        <w:rPr>
          <w:rFonts w:ascii="Times New Roman" w:hAnsi="Times New Roman"/>
          <w:i/>
          <w:sz w:val="20"/>
        </w:rPr>
        <w:t xml:space="preserve">effectiveness and safety of the shock waveform used in a contemporary wearable cardioverter defibrillator: Results from animal and human studies. </w:t>
      </w:r>
    </w:p>
    <w:p>
      <w:pPr>
        <w:pStyle w:val="TextBody"/>
        <w:bidi w:val="0"/>
        <w:spacing w:before="240" w:after="0"/>
        <w:jc w:val="left"/>
        <w:rPr>
          <w:rFonts w:ascii="Times New Roman" w:hAnsi="Times New Roman"/>
          <w:sz w:val="20"/>
        </w:rPr>
      </w:pPr>
      <w:r>
        <w:rPr>
          <w:rFonts w:ascii="Times New Roman" w:hAnsi="Times New Roman"/>
          <w:sz w:val="20"/>
        </w:rPr>
        <w:t xml:space="preserve">A total of 13 patients were enrolled in the ACE-CONVERT trial. The mean age was 55.3 ± 11.3 years and a majority were male (54%). All enrolled patients underwent new ICD implant or ICD replacement. Additionally, the enrolled patients had a mix of primary etiologies of cardiovascular disease, and all had comorbidities. The mean LVEF of enrolled patients was 46.8%. </w:t>
      </w:r>
    </w:p>
    <w:p>
      <w:pPr>
        <w:pStyle w:val="TextBody"/>
        <w:bidi w:val="0"/>
        <w:spacing w:before="240" w:after="0"/>
        <w:jc w:val="left"/>
        <w:rPr>
          <w:rFonts w:ascii="Times New Roman" w:hAnsi="Times New Roman"/>
          <w:sz w:val="20"/>
        </w:rPr>
      </w:pPr>
      <w:r>
        <w:rPr>
          <w:rFonts w:ascii="Times New Roman" w:hAnsi="Times New Roman"/>
          <w:sz w:val="20"/>
        </w:rPr>
        <w:t xml:space="preserve">VF was induced and the ASSURE WCD defibrillation shock was delivered on physician command. If the first shock was not successful, a second shock from the ASSURE WCD was delivered. If this second shock was not successful, the commercial external defibrillator was to be used to deliver a rescue shock. </w:t>
      </w:r>
    </w:p>
    <w:p>
      <w:pPr>
        <w:pStyle w:val="TextBody"/>
        <w:bidi w:val="0"/>
        <w:spacing w:before="240" w:after="0"/>
        <w:jc w:val="left"/>
        <w:rPr>
          <w:rFonts w:ascii="Times New Roman" w:hAnsi="Times New Roman"/>
          <w:sz w:val="20"/>
        </w:rPr>
      </w:pPr>
      <w:r>
        <w:rPr>
          <w:rFonts w:ascii="Times New Roman" w:hAnsi="Times New Roman"/>
          <w:sz w:val="20"/>
        </w:rPr>
        <w:t xml:space="preserve">The primary endpoint was cumulative first and second shock conversion rate with a performance goal of ≥ 94% based on prior studies. Other outcome measures included the first shock conversion rate and a summary of adverse events. </w:t>
      </w:r>
    </w:p>
    <w:p>
      <w:pPr>
        <w:pStyle w:val="TextBody"/>
        <w:bidi w:val="0"/>
        <w:spacing w:before="240" w:after="0"/>
        <w:jc w:val="left"/>
        <w:rPr>
          <w:rFonts w:ascii="Times New Roman" w:hAnsi="Times New Roman"/>
          <w:i/>
          <w:sz w:val="20"/>
        </w:rPr>
      </w:pPr>
      <w:r>
        <w:rPr>
          <w:rFonts w:ascii="Times New Roman" w:hAnsi="Times New Roman"/>
          <w:i/>
          <w:sz w:val="20"/>
        </w:rPr>
        <w:t xml:space="preserve">Results </w:t>
      </w:r>
    </w:p>
    <w:p>
      <w:pPr>
        <w:pStyle w:val="TextBody"/>
        <w:bidi w:val="0"/>
        <w:spacing w:before="240" w:after="0"/>
        <w:jc w:val="left"/>
        <w:rPr>
          <w:rFonts w:ascii="Times New Roman" w:hAnsi="Times New Roman"/>
          <w:sz w:val="20"/>
        </w:rPr>
      </w:pPr>
      <w:r>
        <w:rPr>
          <w:rFonts w:ascii="Times New Roman" w:hAnsi="Times New Roman"/>
          <w:sz w:val="20"/>
        </w:rPr>
        <w:t xml:space="preserve">The primary endpoint of cumulative first and second shock efficacy for conversion of ventricular fibrillation was 100%, exceeding the 94% pre-specified performance goal. On an intention-to-treat analysis, the first shock efficacy was 84.6%. A total of 15 shocks were delivered from the ASSURE WCD in 13 patients. No patient required rescue defibrillation. </w:t>
      </w:r>
    </w:p>
    <w:p>
      <w:pPr>
        <w:pStyle w:val="TextBody"/>
        <w:bidi w:val="0"/>
        <w:spacing w:before="240" w:after="0"/>
        <w:jc w:val="left"/>
        <w:rPr>
          <w:rFonts w:ascii="Times New Roman" w:hAnsi="Times New Roman"/>
          <w:i/>
          <w:sz w:val="20"/>
        </w:rPr>
      </w:pPr>
      <w:r>
        <w:rPr>
          <w:rFonts w:ascii="Times New Roman" w:hAnsi="Times New Roman"/>
          <w:i/>
          <w:sz w:val="20"/>
        </w:rPr>
        <w:t xml:space="preserve">Safety </w:t>
      </w:r>
    </w:p>
    <w:p>
      <w:pPr>
        <w:pStyle w:val="TextBody"/>
        <w:bidi w:val="0"/>
        <w:spacing w:before="240" w:after="0"/>
        <w:jc w:val="left"/>
        <w:rPr>
          <w:rFonts w:ascii="Times New Roman" w:hAnsi="Times New Roman"/>
          <w:sz w:val="20"/>
        </w:rPr>
      </w:pPr>
      <w:r>
        <w:rPr>
          <w:rFonts w:ascii="Times New Roman" w:hAnsi="Times New Roman"/>
          <w:sz w:val="20"/>
        </w:rPr>
        <w:t xml:space="preserve">Three adverse events occurred in three subjects (23.1%). All events were mild skin irritation from the adhesive defibrillation pads and all events resolved without further sequelae.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ASSURE Patient Registry and ACE-PAS </w:t>
      </w:r>
    </w:p>
    <w:p>
      <w:pPr>
        <w:pStyle w:val="TextBody"/>
        <w:bidi w:val="0"/>
        <w:spacing w:before="240" w:after="0"/>
        <w:jc w:val="left"/>
        <w:rPr>
          <w:rFonts w:ascii="Times New Roman" w:hAnsi="Times New Roman"/>
          <w:sz w:val="20"/>
        </w:rPr>
      </w:pPr>
      <w:r>
        <w:rPr>
          <w:rFonts w:ascii="Times New Roman" w:hAnsi="Times New Roman"/>
          <w:sz w:val="20"/>
        </w:rPr>
        <w:t xml:space="preserve">The ASSURE Patient Registry was established to enroll patients fitted with the ASSURE WCD after PMA approval. The primary goal of the registry was to cultivate a database to support endpoint analysis for our post-approval study, ACE-PAS (ACE-PAS, NCT05135403). The secondary goal of the registry was to provide data for observational studies and real-world evidence specifically related to performance of our ASSURE WCD under its intended use. All patients prescribed the ASSURE WCD in the United States after August 5, 2022 are included in the Registry. As of January 31, 2025, our ongoing registry has enrolled over 17,000 patients, and its findings further validate the results of ACE-DETECT and ACE-CONVERT.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latest FDA submission for ACE-PAS in July 2024 included 5,929 patients, of which 33% were female and the average age was 65. This real-world evidence demonstrated greater than 95% first-shock conversion efficacy. The percentage of patients experiencing one or more false positive alarms was only 6% (compared to 46% for the competitors device) and median daily usage (excluding first and last wear day) was 23.2 hours per day. </w:t>
      </w:r>
    </w:p>
    <w:p>
      <w:pPr>
        <w:pStyle w:val="TextBody"/>
        <w:bidi w:val="0"/>
        <w:spacing w:before="240" w:after="0"/>
        <w:jc w:val="left"/>
        <w:rPr>
          <w:rFonts w:ascii="Times New Roman" w:hAnsi="Times New Roman"/>
          <w:b/>
          <w:i/>
          <w:sz w:val="20"/>
        </w:rPr>
      </w:pPr>
      <w:r>
        <w:rPr>
          <w:rFonts w:ascii="Times New Roman" w:hAnsi="Times New Roman"/>
          <w:b/>
          <w:i/>
          <w:sz w:val="20"/>
        </w:rPr>
        <w:t xml:space="preserve">Select Independent Group Studies </w:t>
      </w:r>
    </w:p>
    <w:p>
      <w:pPr>
        <w:pStyle w:val="TextBody"/>
        <w:bidi w:val="0"/>
        <w:spacing w:before="240" w:after="0"/>
        <w:jc w:val="left"/>
        <w:rPr>
          <w:rFonts w:ascii="Times New Roman" w:hAnsi="Times New Roman"/>
          <w:sz w:val="20"/>
        </w:rPr>
      </w:pPr>
      <w:r>
        <w:rPr>
          <w:rFonts w:ascii="Times New Roman" w:hAnsi="Times New Roman"/>
          <w:sz w:val="20"/>
        </w:rPr>
        <w:t xml:space="preserve">The Cleveland Clinic presented two abstracts at the AHA Scientific Sessions in November 2024. The abstracts are summarized below. </w:t>
      </w:r>
    </w:p>
    <w:p>
      <w:pPr>
        <w:pStyle w:val="TextBody"/>
        <w:bidi w:val="0"/>
        <w:spacing w:before="240" w:after="0"/>
        <w:jc w:val="left"/>
        <w:rPr>
          <w:rFonts w:ascii="Times New Roman" w:hAnsi="Times New Roman"/>
          <w:i/>
          <w:sz w:val="20"/>
          <w:u w:val="single"/>
        </w:rPr>
      </w:pPr>
      <w:r>
        <w:rPr>
          <w:rFonts w:ascii="Times New Roman" w:hAnsi="Times New Roman"/>
          <w:i/>
          <w:sz w:val="20"/>
          <w:u w:val="single"/>
        </w:rPr>
        <w:t xml:space="preserve">Abstract #1 Initial Real-World Experience with a Novel Wearable Cardioverter Defibrillator (Tanaka-Esposito et al.) </w:t>
      </w:r>
    </w:p>
    <w:p>
      <w:pPr>
        <w:pStyle w:val="TextBody"/>
        <w:bidi w:val="0"/>
        <w:spacing w:before="240" w:after="0"/>
        <w:jc w:val="left"/>
        <w:rPr>
          <w:rFonts w:ascii="Times New Roman" w:hAnsi="Times New Roman"/>
          <w:sz w:val="20"/>
        </w:rPr>
      </w:pPr>
      <w:r>
        <w:rPr>
          <w:rFonts w:ascii="Times New Roman" w:hAnsi="Times New Roman"/>
          <w:sz w:val="20"/>
        </w:rPr>
        <w:t xml:space="preserve">The first abstract evaluated patient compliance and efficacy in a cohort with balanced gender representation, as well as performance of the ASSURE WCD in minimizing noise artifact leading to false alarms and unnecessary shocks. The data was gathered through a medical chart review of 55 patients prescribed the ASSURE WCD at the Cleveland Clinic between January 2023 and April 2024 as part of a retrospective analysis. All device-detected arrhythmia episodes were manually adjudicated by a Board-Certified Electrophysiologist. </w:t>
      </w:r>
    </w:p>
    <w:p>
      <w:pPr>
        <w:pStyle w:val="TextBody"/>
        <w:bidi w:val="0"/>
        <w:spacing w:before="240" w:after="0"/>
        <w:jc w:val="left"/>
        <w:rPr>
          <w:rFonts w:ascii="Times New Roman" w:hAnsi="Times New Roman"/>
          <w:sz w:val="20"/>
        </w:rPr>
      </w:pPr>
      <w:r>
        <w:rPr>
          <w:rFonts w:ascii="Times New Roman" w:hAnsi="Times New Roman"/>
          <w:sz w:val="20"/>
        </w:rPr>
        <w:t xml:space="preserve">The median daily wear time was 22 hours per day. Female representation was 49%, significantly greater than prior reports of competitive WCD usage. Four episodes of sustained VF/VT were detected in four patients. A single shock terminated VF/VT in two, while asymptomatic VT was diverted by the other two patients who were only aware because of the device alerting of an imminent shock. One shock for hemodynamically unstable atrial fibrillation with heart rate &gt;200bpm was delivered and deemed necessary. There were no unnecessary shocks and no deaths occurred while wearing the ASSURE WCD. A total of 10 patients experienced a median of one alarm during the WCD wear period. Nearly 97% of the alarms were associated with a significant tachyarrhythmia, with only 3% due to noise artifact. </w:t>
      </w:r>
    </w:p>
    <w:p>
      <w:pPr>
        <w:pStyle w:val="TextBody"/>
        <w:bidi w:val="0"/>
        <w:spacing w:before="240" w:after="0"/>
        <w:jc w:val="left"/>
        <w:rPr>
          <w:rFonts w:ascii="Times New Roman" w:hAnsi="Times New Roman"/>
          <w:sz w:val="20"/>
        </w:rPr>
      </w:pPr>
      <w:r>
        <w:rPr>
          <w:rFonts w:ascii="Times New Roman" w:hAnsi="Times New Roman"/>
          <w:sz w:val="20"/>
        </w:rPr>
        <w:t xml:space="preserve">Patient compliance with the ASSURE WCD was high in this real-world observational study with equal representation of both sexes. The ASSURE WCD effectively terminated sustained hemodynamically significant tachyarrhythmias, emitted few false alarms due to noise, and resulted in no unnecessary shocks. </w:t>
      </w:r>
    </w:p>
    <w:p>
      <w:pPr>
        <w:pStyle w:val="TextBody"/>
        <w:bidi w:val="0"/>
        <w:spacing w:before="240" w:after="0"/>
        <w:jc w:val="left"/>
        <w:rPr>
          <w:rFonts w:ascii="Times New Roman" w:hAnsi="Times New Roman"/>
          <w:i/>
          <w:sz w:val="20"/>
          <w:u w:val="single"/>
        </w:rPr>
      </w:pPr>
      <w:r>
        <w:rPr>
          <w:rFonts w:ascii="Times New Roman" w:hAnsi="Times New Roman"/>
          <w:i/>
          <w:sz w:val="20"/>
          <w:u w:val="single"/>
        </w:rPr>
        <w:t xml:space="preserve">Abstract #2 Clinical Impact of Ventricular and Supraventricular Arrhythmia Detection with a Novel Wearable Cardioverter Defibrillator (Tanaka-Esposito et al.) </w:t>
      </w:r>
    </w:p>
    <w:p>
      <w:pPr>
        <w:pStyle w:val="TextBody"/>
        <w:bidi w:val="0"/>
        <w:spacing w:before="240" w:after="0"/>
        <w:jc w:val="left"/>
        <w:rPr>
          <w:rFonts w:ascii="Times New Roman" w:hAnsi="Times New Roman"/>
          <w:sz w:val="20"/>
        </w:rPr>
      </w:pPr>
      <w:r>
        <w:rPr>
          <w:rFonts w:ascii="Times New Roman" w:hAnsi="Times New Roman"/>
          <w:sz w:val="20"/>
        </w:rPr>
        <w:t xml:space="preserve">The second abstract evaluated the occurrence of ventricular and atrial arrhythmia detected by the ASSURE WCD and the clinical consequences of these diagnoses. The data was gathered through a medical chart review of 55 patients prescribed the ASSURE WCD at the Cleveland Clinic between January 2023 and April 2024 as part of a retrospective analysis. Rhythm classification of all device-detected and patient-initiated episodes displayed with four independent ECG channels was manually adjudicated by a Board-Certified Electrophysiologist. </w:t>
      </w:r>
    </w:p>
    <w:p>
      <w:pPr>
        <w:pStyle w:val="TextBody"/>
        <w:bidi w:val="0"/>
        <w:spacing w:before="240" w:after="0"/>
        <w:jc w:val="left"/>
        <w:rPr>
          <w:rFonts w:ascii="Times New Roman" w:hAnsi="Times New Roman"/>
          <w:sz w:val="20"/>
        </w:rPr>
      </w:pPr>
      <w:r>
        <w:rPr>
          <w:rFonts w:ascii="Times New Roman" w:hAnsi="Times New Roman"/>
          <w:sz w:val="20"/>
        </w:rPr>
        <w:t xml:space="preserve">Four patients (7%) had sustained VF/VT detected by the ASSURE WCD and all received a secondary prevention ICD. Notably, two patients were asymptomatic and became aware of their condition only after the device alerted them to an imminent shock. Both patients showed significant recovery of EF &gt;35% during the wear period. Moreover, had sustained VF/VT not been detected by the ASSURE WCD for these patients, neither would have met the indication for a preventative ICD. Additionally, six patients (11%) had AF/AFL recorded by the ASSURE WCD. In three patients, AF/AFL manifested in a paroxysmal pattern, which was a new diagnosis for each of them. All were at an elevated risk for stroke with median CHADS-VaSC ≥4. </w:t>
      </w:r>
    </w:p>
    <w:p>
      <w:pPr>
        <w:pStyle w:val="TextBody"/>
        <w:bidi w:val="0"/>
        <w:spacing w:before="240" w:after="0"/>
        <w:jc w:val="left"/>
        <w:rPr>
          <w:rFonts w:ascii="Times New Roman" w:hAnsi="Times New Roman"/>
          <w:sz w:val="20"/>
        </w:rPr>
      </w:pPr>
      <w:r>
        <w:rPr>
          <w:rFonts w:ascii="Times New Roman" w:hAnsi="Times New Roman"/>
          <w:sz w:val="20"/>
        </w:rPr>
        <w:t xml:space="preserve">The authors concluded that in addition to its primary utility for preventing SCA, the ASSURE WCD can detect unnoticed yet clinically-significant arrhythmia. The detection of sustained ventricular arrhythmias in asymptomatic, elevated risk patients enabled secondary prevention of SCA. Similarly, documenting AF/AFL in high-risk patients could significantly reduce their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240" w:after="0"/>
        <w:jc w:val="left"/>
        <w:rPr>
          <w:rFonts w:ascii="Times New Roman" w:hAnsi="Times New Roman"/>
          <w:sz w:val="20"/>
        </w:rPr>
      </w:pPr>
      <w:r>
        <w:rPr>
          <w:rFonts w:ascii="Times New Roman" w:hAnsi="Times New Roman"/>
          <w:sz w:val="20"/>
        </w:rPr>
        <w:t xml:space="preserve">We generate revenue primarily from the lease of our ASSURE WCD as part of our Cardiac Recovery System platform. Patients are prescribed our ASSURE WCD by a healthcare provider for a specific length of time. Once an order is made, we fit the patient for the WCD in a hospital, clinic or home setting. We directly bill various third-party payors for the lease of our product for the duration of its use by patients.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strategy and our direct sales force primarily target general cardiologists, interventional cardiologists, cardiac electrophysiologists, and advanced practice providers within hospitals and clinics in the U.S., as these represent the primary healthcare providers managing the care of patients at elevated risk of SCA and who typically make decisions regarding WCD prescriptions. Our sales, marketing and product education efforts are focused on capturing market share and driving adoption by offering healthcare providers an innovative, safe and effective WCD alternative.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team is comprised of approximately 70 direct sales representatives as well as more than 40 sales and clinical support professionals as of January 31, 2025 with deep expertise in cardiac rhythm management as well as established relationships in the cardiology and electrophysiology fields. This team is responsible for developing sales territory business plans, targeting and opening new accounts, and driving adoption of our Cardiac Recovery System platform. Once a healthcare provider prescribes our ASSURE WCD to a patient, our direct sales team is supported by a contracted team of over 250 APSs who assist patients with fitting and training. These specialists assist with fitting patients with the appropriate size and gender-specific option of the ASSURE WCD and provide training on its proper wear and use. At fitting, we deliver our ASSURE WCD from our distribution network to the patient. When a patients wear time has concluded, the device is returned for reprocessing and reintroduction into the distribution network. </w:t>
      </w:r>
    </w:p>
    <w:p>
      <w:pPr>
        <w:pStyle w:val="TextBody"/>
        <w:bidi w:val="0"/>
        <w:spacing w:before="240" w:after="0"/>
        <w:jc w:val="left"/>
        <w:rPr>
          <w:rFonts w:ascii="Times New Roman" w:hAnsi="Times New Roman"/>
          <w:sz w:val="20"/>
        </w:rPr>
      </w:pPr>
      <w:r>
        <w:rPr>
          <w:rFonts w:ascii="Times New Roman" w:hAnsi="Times New Roman"/>
          <w:sz w:val="20"/>
        </w:rPr>
        <w:t xml:space="preserve">Based on data from Definitive Healthcare and our internal estimates, we estimate that there are approximately 2,700 hospitals in the U.S. that actively prescribe WCDs as of November 30, 2024. We further estimate based on our internal analysis of the same data, that approximately 80% of U.S. WCD prescription volume is generated by approximately 30% of these hospitals. We have initially focused on establishing key customer accounts and expansion into high WCD-volume areas. We plan to continue to further scale our commercial team to reach a wider range of healthcare providers across the entire U.S. Our commercial team has been successful at driving adoption of the ASSURE WCD, with more than 550 hospitals, ranging from top academic medical centers to community hospitals, actively prescribing our system as of January 31, 2025. As healthcare providers gain experience with our ASSURE WCD, we expect to capture more volume and further establish the WCD as the standard of care protection for patients at elevated risk of SCA. </w:t>
      </w:r>
    </w:p>
    <w:p>
      <w:pPr>
        <w:pStyle w:val="TextBody"/>
        <w:bidi w:val="0"/>
        <w:spacing w:before="240" w:after="0"/>
        <w:jc w:val="left"/>
        <w:rPr>
          <w:rFonts w:ascii="Times New Roman" w:hAnsi="Times New Roman"/>
          <w:sz w:val="20"/>
        </w:rPr>
      </w:pPr>
      <w:r>
        <w:rPr>
          <w:rFonts w:ascii="Times New Roman" w:hAnsi="Times New Roman"/>
          <w:sz w:val="20"/>
        </w:rPr>
        <w:t xml:space="preserve">Having established our commercial presence in the U.S., one of our future initiatives is to expand internationally where similar unmet patient needs remain. The prevalence of single payor health systems outside of the U.S. provides an opportunity to efficiently penetrate large pools of net new eligible lives. As of the date of this prospectus,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 international countries. We anticipate Western Europe to be our initial focus due to favorable market dynamics and our goal is to obtain regulatory approvals to begin distributing our ASSURE WCD in certain markets in Western Europe within the next three years. </w:t>
      </w:r>
    </w:p>
    <w:p>
      <w:pPr>
        <w:pStyle w:val="TextBody"/>
        <w:bidi w:val="0"/>
        <w:spacing w:before="240" w:after="0"/>
        <w:jc w:val="left"/>
        <w:rPr>
          <w:rFonts w:ascii="Times New Roman" w:hAnsi="Times New Roman"/>
          <w:b/>
          <w:sz w:val="20"/>
        </w:rPr>
      </w:pPr>
      <w:r>
        <w:rPr>
          <w:rFonts w:ascii="Times New Roman" w:hAnsi="Times New Roman"/>
          <w:b/>
          <w:sz w:val="20"/>
        </w:rPr>
        <w:t xml:space="preserve">Third Party Coverage, Reimbursement and Payor Relations </w:t>
      </w:r>
    </w:p>
    <w:p>
      <w:pPr>
        <w:pStyle w:val="TextBody"/>
        <w:bidi w:val="0"/>
        <w:spacing w:before="240" w:after="0"/>
        <w:jc w:val="left"/>
        <w:rPr>
          <w:rFonts w:ascii="Times New Roman" w:hAnsi="Times New Roman"/>
          <w:sz w:val="20"/>
        </w:rPr>
      </w:pPr>
      <w:r>
        <w:rPr>
          <w:rFonts w:ascii="Times New Roman" w:hAnsi="Times New Roman"/>
          <w:sz w:val="20"/>
        </w:rPr>
        <w:t xml:space="preserve">We derive nearly all our revenue from the direct billing of various third-party payors, including Medicare, Medicaid, private payors and other healthcare-related organizations, for the lease of our ASSURE WCD to patients as part of our Cardiac Recovery System platform. Additionally, any costs associated with our solution that are not covered by third-party payors, such as co-payments, are billed directly to the patient by our team.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strong, established payor relationships, including some of the largest private payors in the U.S. Based on our estimates, we are contracted or enrolled as an in-network healthcare provider with payors currently covering over 285 million lives. These contracts allow us to be an in-network healthcare provider for patients, enabling them to access our system at a competitive rate and copay. These established payor relationships reduce our administrative burden in authorization and billing for our ASSURE WCD. Our payor relationships are supported by our revenue cycle management platform, which streamlines reimbursement processes by ensuring claims are accurately prepared and submitted according to individual payor requirements, facilitating timely collections. These capabilities are an important element in our strategy to increase operational efficiency and support both patient and healthcare provider satisfaction. </w:t>
      </w:r>
    </w:p>
    <w:p>
      <w:pPr>
        <w:pStyle w:val="TextBody"/>
        <w:bidi w:val="0"/>
        <w:spacing w:before="240" w:after="0"/>
        <w:jc w:val="left"/>
        <w:rPr>
          <w:rFonts w:ascii="Times New Roman" w:hAnsi="Times New Roman"/>
          <w:sz w:val="20"/>
        </w:rPr>
      </w:pPr>
      <w:r>
        <w:rPr>
          <w:rFonts w:ascii="Times New Roman" w:hAnsi="Times New Roman"/>
          <w:sz w:val="20"/>
        </w:rPr>
        <w:t xml:space="preserve">WCDs are reimbursed as Durable Medical Equipment under the DMEPOS Fee Schedule and our ASSURE WCD is eligible for payment under the existing HCPCS code K0606. The ASSURE WCD is the only WCD officially code-verified by the Medicare PDAC. Code K0606 falls under the Capped Rental monthly reimbursement rate for lease payments. K0606 is a valid 2024 HCPCS code defined as an automated defibrillator, with integrated ECG analysis, garment type. The Medicare allowable for code K0606 is approximately $3,436 per month as of January 2024, while the maximum Medicare allowable over the course of their lease is approximately $34,360. The standard patient co-insurance is 20%. We have been issued a Medicare Provider Number by the CMS, which enables us to bill Medicare for reimbursement for our ASSURE WCD. Reimbursement rates for WCDs have shown favorable trends, with published Medicare reimbursement rates having increased at a CAGR of 5.4% from 2021 to 2024. </w:t>
      </w:r>
    </w:p>
    <w:p>
      <w:pPr>
        <w:pStyle w:val="TextBody"/>
        <w:bidi w:val="0"/>
        <w:spacing w:before="240" w:after="0"/>
        <w:jc w:val="left"/>
        <w:rPr>
          <w:rFonts w:ascii="Times New Roman" w:hAnsi="Times New Roman"/>
          <w:sz w:val="20"/>
        </w:rPr>
      </w:pPr>
      <w:r>
        <w:rPr>
          <w:rFonts w:ascii="Times New Roman" w:hAnsi="Times New Roman"/>
          <w:sz w:val="20"/>
        </w:rPr>
        <w:t xml:space="preserve">Private payor reimbursement rates are generally in line with Medicare rates and vary based on several factors, including but are not limited to, the payor, geographic location, and contract terms. Most large, national payors have established coverage policies in place to cover WCD therapy. </w:t>
      </w:r>
    </w:p>
    <w:p>
      <w:pPr>
        <w:pStyle w:val="TextBody"/>
        <w:bidi w:val="0"/>
        <w:spacing w:before="240" w:after="0"/>
        <w:jc w:val="left"/>
        <w:rPr>
          <w:rFonts w:ascii="Times New Roman" w:hAnsi="Times New Roman"/>
          <w:sz w:val="20"/>
        </w:rPr>
      </w:pPr>
      <w:r>
        <w:rPr>
          <w:rFonts w:ascii="Times New Roman" w:hAnsi="Times New Roman"/>
          <w:sz w:val="20"/>
        </w:rPr>
        <w:t xml:space="preserve">Outside the U.S., reimbursement levels vary by country and by region. Some countries or regions may require us to gather additional clinical data before granting coverage and reimbursement for our ASSURE WCD. We intend to work with payors to obtain coverage and reimbursement approval in countries and regions we intend to enter in the future, including select countries in Western Europe such as Germany and France. We estimate that these two countries include approximately 600,000 WCD-indicated patients, representing a sizeable opportunity for our international expansion. </w:t>
      </w:r>
    </w:p>
    <w:p>
      <w:pPr>
        <w:pStyle w:val="TextBody"/>
        <w:bidi w:val="0"/>
        <w:spacing w:before="240" w:after="0"/>
        <w:jc w:val="left"/>
        <w:rPr>
          <w:rFonts w:ascii="Times New Roman" w:hAnsi="Times New Roman"/>
          <w:b/>
          <w:sz w:val="20"/>
        </w:rPr>
      </w:pPr>
      <w:r>
        <w:rPr>
          <w:rFonts w:ascii="Times New Roman" w:hAnsi="Times New Roman"/>
          <w:b/>
          <w:sz w:val="20"/>
        </w:rPr>
        <w:t xml:space="preserve">Research &amp; Development </w:t>
      </w:r>
    </w:p>
    <w:p>
      <w:pPr>
        <w:pStyle w:val="TextBody"/>
        <w:bidi w:val="0"/>
        <w:spacing w:before="240" w:after="0"/>
        <w:jc w:val="left"/>
        <w:rPr>
          <w:rFonts w:ascii="Times New Roman" w:hAnsi="Times New Roman"/>
          <w:sz w:val="20"/>
        </w:rPr>
      </w:pPr>
      <w:r>
        <w:rPr>
          <w:rFonts w:ascii="Times New Roman" w:hAnsi="Times New Roman"/>
          <w:sz w:val="20"/>
        </w:rPr>
        <w:t xml:space="preserve">We are committed to investing in research and development activities to advance our Cardiac Recovery System platform as well as develop and commercialize next-generation products. Over a decade of investment in our research and development capabilities has resulted in a highly experienced and capable innovation engine. Designed as a scalable platform, our Cardiac Recovery System platform supports future extensions and enhancements, enabling the integration of new therapeutic and diagnostic capabilities to support our existing fleet of ASSURE WCDs. The platform also enables data collection from patients that will support training of automated algorithms to detect and predict clinically relevant events. We also intend to leverage the Class I nature of our broader suite of digital solutions to continually enhance the digital capabilities of our Cardiac Recovery System platform, offering greater data transparency, diagnostic flexibility, and workflow efficiency. </w:t>
      </w:r>
    </w:p>
    <w:p>
      <w:pPr>
        <w:pStyle w:val="TextBody"/>
        <w:bidi w:val="0"/>
        <w:spacing w:before="240" w:after="0"/>
        <w:jc w:val="left"/>
        <w:rPr>
          <w:rFonts w:ascii="Times New Roman" w:hAnsi="Times New Roman"/>
          <w:sz w:val="20"/>
        </w:rPr>
      </w:pPr>
      <w:r>
        <w:rPr>
          <w:rFonts w:ascii="Times New Roman" w:hAnsi="Times New Roman"/>
          <w:sz w:val="20"/>
        </w:rPr>
        <w:t xml:space="preserve">Through the ASSURE Patient Registry, we are maximizing the utility of this system to collect and leverage aggregated, de-identified data to build clinical evidence and support innovations in prediction, prevention, and therapy. For example, we aim to develop advanced capabilities to deliver personalized clinical decision support. Our efforts to continuously innovate reflect our vision of leveraging our unique capabilities to deliver smarter, more effective solutions for cardiac patients.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serving high-acuity patient populations, we believe we are positioned to expand our offerings to a broader range of cardiac patients, including those with previously undiagnosed atrial fibrillation,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advanced hypertension, and other cardiac conditions. Our long-term vision is to deliver a comprehensive and cohesive ecosystem of monitoring, diagnostics, and therapy that seamlessly supports patients as their health conditions evolve. The launch of our ASSURE wearable ECG is the first step in this effort, designed for patients no longer indicated for a WCD but who still require monitoring, patient support, and connectivity. </w:t>
      </w:r>
    </w:p>
    <w:p>
      <w:pPr>
        <w:pStyle w:val="TextBody"/>
        <w:bidi w:val="0"/>
        <w:spacing w:before="240" w:after="0"/>
        <w:jc w:val="left"/>
        <w:rPr>
          <w:rFonts w:ascii="Times New Roman" w:hAnsi="Times New Roman"/>
          <w:sz w:val="20"/>
        </w:rPr>
      </w:pPr>
      <w:r>
        <w:rPr>
          <w:rFonts w:ascii="Times New Roman" w:hAnsi="Times New Roman"/>
          <w:sz w:val="20"/>
        </w:rPr>
        <w:t xml:space="preserve">We have established a tenured and dedicated research and development team comprised of highly skilled engineers and program managers with extensive experience in external and implantable defibrillation, as well as more than a decade of experience creating our next generation wearable medical device. In addition, we have strong software development resources capable of innovating advanced algorithms, user interfaces, and connectivity solutions to enhance the functionality and user experience of our Cardiac Recovery System platform.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October 31, 2024 and 2023, our research and development expenses were $6.9 million and $7.9 million, respectively. For the fiscal years ended April 30, 2024 and 2023, our research and development expenses were $15.5 million and $15.8 million,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Manufacturing and Supply </w:t>
      </w:r>
    </w:p>
    <w:p>
      <w:pPr>
        <w:pStyle w:val="TextBody"/>
        <w:bidi w:val="0"/>
        <w:spacing w:before="240" w:after="0"/>
        <w:jc w:val="left"/>
        <w:rPr>
          <w:rFonts w:ascii="Times New Roman" w:hAnsi="Times New Roman"/>
          <w:sz w:val="20"/>
        </w:rPr>
      </w:pPr>
      <w:r>
        <w:rPr>
          <w:rFonts w:ascii="Times New Roman" w:hAnsi="Times New Roman"/>
          <w:sz w:val="20"/>
        </w:rPr>
        <w:t xml:space="preserve">We utilize third-party manufacturing and supply partners to manufacture our ASSURE WCD and its components. We believe outsourcing the manufacture of our ASSURE WCD provides the expertise and capacity required to effectively and efficiently scale production based on the demand. We select our third-party partners to ensure that our ASSURE WCD and its components are of the highest quality and adhere to all applicable regulations. We employ a rigorous manufacturing and supplier partner assessment, qualification, and selection process to target partners that meet the requirements of the FDA and the International Organization for Standardization, as well as quality standards supported by internal policies and procedures. Our quality assurance program monitors and maintains manufacturing and supplier partner performance through qualification and periodic reviews and audits. Our tier one third-party manufacturing and supplier partners, which supply our SensorFit Garment and assemble our ASSURE WCD, are also independently audited by the FDA. We rely on a single or limited number of suppliers for certain components of our ASSURE WCD. We seek to manage single-source supplier risk by regularly assessing the quality and capacity of our partners, as well as by qualifying alternative partners and developing contingency plans for responding to disruptions. </w:t>
      </w:r>
    </w:p>
    <w:p>
      <w:pPr>
        <w:pStyle w:val="TextBody"/>
        <w:bidi w:val="0"/>
        <w:spacing w:before="240" w:after="0"/>
        <w:jc w:val="left"/>
        <w:rPr>
          <w:rFonts w:ascii="Times New Roman" w:hAnsi="Times New Roman"/>
          <w:sz w:val="20"/>
        </w:rPr>
      </w:pPr>
      <w:r>
        <w:rPr>
          <w:rFonts w:ascii="Times New Roman" w:hAnsi="Times New Roman"/>
          <w:sz w:val="20"/>
        </w:rPr>
        <w:t xml:space="preserve">Our third-party manufacturing and supplier partners inspect, test, and assemble our ASSURE WCD and its components under strict manufacturing processes supported by internal policies and procedures. Our third-party partners are all in compliance with current Good Manufacturing Practice regulations applicable to our ASSURE WCD. Both of our tier-one third-party manufacturing and supplier partners are headquartered in the U.S. and provide products from their facilities based in the U.S. </w:t>
      </w:r>
    </w:p>
    <w:p>
      <w:pPr>
        <w:pStyle w:val="TextBody"/>
        <w:bidi w:val="0"/>
        <w:spacing w:before="240" w:after="0"/>
        <w:jc w:val="left"/>
        <w:rPr>
          <w:rFonts w:ascii="Times New Roman" w:hAnsi="Times New Roman"/>
          <w:sz w:val="20"/>
        </w:rPr>
      </w:pPr>
      <w:r>
        <w:rPr>
          <w:rFonts w:ascii="Times New Roman" w:hAnsi="Times New Roman"/>
          <w:sz w:val="20"/>
        </w:rPr>
        <w:t xml:space="preserve">We utilize a lease business model where certain components of our ASSURE WCD are reused for multiple patients. At the end of a prescription, the patient ships our ASSURE WCD back to our third-party manufacturing partner, who disposes of the single-use items, such as our SensorFit Garment, and then inspects, tests, and recertifies the other components for use by another patient. The reusable nature of our ASSURE WCD allows each device to be deployed multiple times, thereby reducing the ongoing demand for new inventory. These reconditioning processes are validated and FDA approved. We also have preventative maintenance and repair processes that can further extend the life each ASSURE WCD. </w:t>
      </w:r>
    </w:p>
    <w:p>
      <w:pPr>
        <w:pStyle w:val="TextBody"/>
        <w:bidi w:val="0"/>
        <w:spacing w:before="240" w:after="0"/>
        <w:jc w:val="left"/>
        <w:rPr>
          <w:rFonts w:ascii="Times New Roman" w:hAnsi="Times New Roman"/>
          <w:sz w:val="20"/>
        </w:rPr>
      </w:pPr>
      <w:r>
        <w:rPr>
          <w:rFonts w:ascii="Times New Roman" w:hAnsi="Times New Roman"/>
          <w:sz w:val="20"/>
        </w:rPr>
        <w:t xml:space="preserve">We utilize an inventory distribution strategy where we pre-emptively deploy our ASSURE WCD and its components to a central distribution location, as well as 14 additional strategically-located third-party warehouses across the U.S. This is done to ensure our ASSURE WCD is available for immediate use no matter where a patient is located. Inventory stock is allocated based on historical ASSURE WCD utilization in that territory, as well as sales forecasting to account for growing demand. Using this strategy, ASSURE WCD components are typically replenished within a 24-hour window. We believe this distribution model optimizes the availability of our ASSURE WCD inventory, supports growth, and minimizes the impact of localized weather, transportation delays, or other disruptions.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tier-one third-party manufacturing and supplier partners also operate facilities in Asia and Europe, equipped with localized manufacturing and reconditioning capabilities. These facilities can leverage our proven systems and processes in the U.S. to support our future international needs. </w:t>
      </w:r>
    </w:p>
    <w:p>
      <w:pPr>
        <w:pStyle w:val="TextBody"/>
        <w:bidi w:val="0"/>
        <w:spacing w:before="24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Cardiac Recovery System platform, including our ASSURE WCD and wearable ECG, provide us with an advantage relative to other competing solutions. However, our currently marketed products and any future products we commercialize will be subject to competition. The WCD market has historically been served by a single incumbent commercial product, the LifeVest WCD marketed by ZOLL Medical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are aware of one privately-held potential new entrant which is developing an adhesive-based external defibrillator that has yet to receive FDA approval. We remain confident that our Cardiac Recovery System platform will continue to be advantaged in the market due to our differentiated and integrated features enabling superior patient comfort, compliance, connectivity and support.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primary factors in developing a competitive WCD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safety and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detection algorithm sensitivity, specificity and false alarm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physical and psychological comfort and ease of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integrate within the patient monitoring ecosystem;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quality, breadth and ongoing generation of clinical evidence;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innovation, product enhancements and speed of innovation;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required to achieve PMA approval as well as to facilitate post-commercial initial inventory;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status and speed to market.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we believe that the following factors are required to commercially compete in the WCD market: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and healthcare provider connectivity and engagement;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post-event monitoring and emergency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marketing to and education of patients, physicians, other healthcare providers and hospitals;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product and brand recognition;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device reusability and durability;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reimbursement and payor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complexity in building up the RCM capabilities and logistics to support broad-based;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commercialization and service levels;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recruitment and retention of a qualified and experienced sales force.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In order to remain competitive, we must develop and maintain protection for the proprietary aspects of our technologies. We rely on a combination of patent, copyright, trademark and trade secret laws, and confidentiality and invention assignment agreements to protect our intellectual property rights. The protection of intellectual property has been and remains a priority for us. </w:t>
      </w:r>
    </w:p>
    <w:p>
      <w:pPr>
        <w:pStyle w:val="TextBody"/>
        <w:bidi w:val="0"/>
        <w:spacing w:before="240" w:after="0"/>
        <w:jc w:val="left"/>
        <w:rPr>
          <w:rFonts w:ascii="Times New Roman" w:hAnsi="Times New Roman"/>
          <w:sz w:val="20"/>
        </w:rPr>
      </w:pPr>
      <w:r>
        <w:rPr>
          <w:rFonts w:ascii="Times New Roman" w:hAnsi="Times New Roman"/>
          <w:sz w:val="20"/>
        </w:rPr>
        <w:t xml:space="preserve">We rely on utility patent, design patent or other similar protection and registration mechanisms through various jurisdictions that relate to our ASSURE WCD. As of the date of this prospectus, we have rights to 225 issued U.S. and foreign patents, consisting of 193 issued patents in the U.S., 16 issued patents in the European Union, 7 issued patents in Japan, 4 issued patents in Australia and 5 issued patents in China. Additionally, as of the date of this prospectus, we had 141 pending published and unpublished U.S. and foreign patent applications, consisting of 128 pending published and unpublished patent applications in the U.S., 5 pending published patent applications in the European Union, 3 pending published patent applications in Japan, 2 pending published patent applications in Australia and 3 pending published patent applications in China. Assuming all required fees and other charges are paid, the earliest expiry date for issued patents owned or used by us is in July 2025. </w:t>
      </w:r>
    </w:p>
    <w:p>
      <w:pPr>
        <w:pStyle w:val="TextBody"/>
        <w:bidi w:val="0"/>
        <w:spacing w:before="240" w:after="0"/>
        <w:jc w:val="left"/>
        <w:rPr>
          <w:rFonts w:ascii="Times New Roman" w:hAnsi="Times New Roman"/>
          <w:sz w:val="20"/>
        </w:rPr>
      </w:pPr>
      <w:r>
        <w:rPr>
          <w:rFonts w:ascii="Times New Roman" w:hAnsi="Times New Roman"/>
          <w:sz w:val="20"/>
        </w:rPr>
        <w:t xml:space="preserve">We rely on trademarks, service marks, trade names and brand names, such as our registered or applied for trademarks for the marks ASSURE, CARDIAC RECOVERY SYSTEM, KESTRA and KESTRA CARESTATION to distinguish our products from the products of our competitors. We have registered or applied for the ASSURE mark in the United States and selected locations internationally, but we may be unable to obtain, maintain, protect or enforce our trademarks in the markets where we currently or may in the future operate. </w:t>
      </w:r>
    </w:p>
    <w:p>
      <w:pPr>
        <w:pStyle w:val="TextBody"/>
        <w:bidi w:val="0"/>
        <w:spacing w:before="240" w:after="0"/>
        <w:jc w:val="left"/>
        <w:rPr>
          <w:rFonts w:ascii="Times New Roman" w:hAnsi="Times New Roman"/>
          <w:sz w:val="20"/>
        </w:rPr>
      </w:pPr>
      <w:r>
        <w:rPr>
          <w:rFonts w:ascii="Times New Roman" w:hAnsi="Times New Roman"/>
          <w:sz w:val="20"/>
        </w:rPr>
        <w:t xml:space="preserve">We also rely upon trade secrets, know-how, continuing technological innovation, and licensing opportunities, to develop and maintain our competitive position. However, trade secrets and know how may be difficult to protect. We protect our proprietary rights through a variety of methods, including confidentiality agreements and proprietary information agreements with third party contract manufacturers, suppliers, employees, consultants and others who may have access to proprietary information that we own or license for use. </w:t>
      </w:r>
    </w:p>
    <w:p>
      <w:pPr>
        <w:pStyle w:val="TextBody"/>
        <w:bidi w:val="0"/>
        <w:spacing w:before="240" w:after="0"/>
        <w:jc w:val="left"/>
        <w:rPr>
          <w:rFonts w:ascii="Times New Roman" w:hAnsi="Times New Roman"/>
          <w:sz w:val="20"/>
        </w:rPr>
      </w:pPr>
      <w:r>
        <w:rPr>
          <w:rFonts w:ascii="Times New Roman" w:hAnsi="Times New Roman"/>
          <w:sz w:val="20"/>
        </w:rPr>
        <w:t xml:space="preserve">There is no active litigation involving any of our patents or other intellectual property rights and we have not received any notices of patent infringement. We may be required to enforce or defend our intellectual property rights against third parties in the future. For additional information regarding these and other risks related to our intellectual property portfolio and their potential effect on us, see Risk FactorsRisks Related to Our Intellectual Property. </w:t>
      </w:r>
    </w:p>
    <w:p>
      <w:pPr>
        <w:pStyle w:val="TextBody"/>
        <w:bidi w:val="0"/>
        <w:spacing w:before="24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240" w:after="0"/>
        <w:jc w:val="left"/>
        <w:rPr>
          <w:rFonts w:ascii="Times New Roman" w:hAnsi="Times New Roman"/>
          <w:sz w:val="20"/>
        </w:rPr>
      </w:pPr>
      <w:r>
        <w:rPr>
          <w:rFonts w:ascii="Times New Roman" w:hAnsi="Times New Roman"/>
          <w:sz w:val="20"/>
        </w:rPr>
        <w:t xml:space="preserve">Our products and our operations are subject to extensive and ongoing regulation by the FDA, the CMS and other federal and state authorities in the United States. Regulations cover virtually every critical aspect of a medical device companys business operations, including research activities, product development, quality and risk management, contracting, reimbursement, medical communications, and sales and marketing. In addition, we are subject to regulation by CMS, state law, and private payor requirements as a DME supplier with respect to our product leasing and payor billing operations. In the United States, the Federal Food, Drug and Cosmetic Act (the FDCA) and the implementing regulations of the FDA govern, among other things, product design and development, pre-clinical and clinical testing, premarket notifications and clearance or approval, investigational device exemption, establishment registration and device listing, product manufacturing, quality systems, import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export, product labeling, product storage, medical device reporting, recalls and field safety corrective actions, advertising and promotion, revenues and distribution, and post-market surveillance (including complaint handling and adverse event reporting). Our business is subject to various federal, state and local regulations, including, but not limited to, ISO 13485, ISO 14971 and the FDAs QSR contained in 21 CFR Parts 801, 803, 807, 812, 814, and 820. </w:t>
      </w:r>
    </w:p>
    <w:p>
      <w:pPr>
        <w:pStyle w:val="TextBody"/>
        <w:bidi w:val="0"/>
        <w:spacing w:before="240" w:after="0"/>
        <w:jc w:val="left"/>
        <w:rPr>
          <w:rFonts w:ascii="Times New Roman" w:hAnsi="Times New Roman"/>
          <w:b/>
          <w:i/>
          <w:sz w:val="20"/>
        </w:rPr>
      </w:pPr>
      <w:r>
        <w:rPr>
          <w:rFonts w:ascii="Times New Roman" w:hAnsi="Times New Roman"/>
          <w:b/>
          <w:i/>
          <w:sz w:val="20"/>
        </w:rPr>
        <w:t xml:space="preserve">FDA Premarket Clearance and Approval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Unless an exemption applies, each medical device commercially distributed in the United States requires either FDA clearance of a premarket notification under Section 510(k) of the FDCA or a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establishment registration and product listing, reporting of adverse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special labeling requirements, post-market surveillance, patient registries and FDA product-specific guidance documents. </w:t>
      </w:r>
    </w:p>
    <w:p>
      <w:pPr>
        <w:pStyle w:val="TextBody"/>
        <w:bidi w:val="0"/>
        <w:spacing w:before="240" w:after="0"/>
        <w:jc w:val="left"/>
        <w:rPr>
          <w:rFonts w:ascii="Times New Roman" w:hAnsi="Times New Roman"/>
          <w:sz w:val="20"/>
        </w:rPr>
      </w:pPr>
      <w:r>
        <w:rPr>
          <w:rFonts w:ascii="Times New Roman" w:hAnsi="Times New Roman"/>
          <w:sz w:val="20"/>
        </w:rPr>
        <w:t xml:space="preserve">While most Class I devices are exempt from the 510(k) premarket notification requirement, manufacturers of most Class II devices are required to submit to the FDA a premarket notification under Section 510(k) of the FDCA requesting permission to commercially distribute the device. </w:t>
      </w:r>
    </w:p>
    <w:p>
      <w:pPr>
        <w:pStyle w:val="TextBody"/>
        <w:bidi w:val="0"/>
        <w:spacing w:before="240" w:after="0"/>
        <w:jc w:val="left"/>
        <w:rPr>
          <w:rFonts w:ascii="Times New Roman" w:hAnsi="Times New Roman"/>
          <w:sz w:val="20"/>
        </w:rPr>
      </w:pPr>
      <w:r>
        <w:rPr>
          <w:rFonts w:ascii="Times New Roman" w:hAnsi="Times New Roman"/>
          <w:sz w:val="20"/>
        </w:rPr>
        <w:t xml:space="preserve">Devices deemed by the FDA to pose the greatest risks, such as life-sustaining or life-supporting devices, those that are of substantial importance in preventing impairment of human health, or which present a potential unreasonable risk of illness or injury, are placed in Class III, requiring approval of PMA. The PMA process is more stringent, time-consuming and expensive than the 510(k) clearance process. Some pre-amendment devices are unclassified, but are subject to the FDAs premarket notification and clearance process in order to be commercially distributed. </w:t>
      </w:r>
    </w:p>
    <w:p>
      <w:pPr>
        <w:pStyle w:val="TextBody"/>
        <w:bidi w:val="0"/>
        <w:spacing w:before="240" w:after="0"/>
        <w:jc w:val="left"/>
        <w:rPr>
          <w:rFonts w:ascii="Times New Roman" w:hAnsi="Times New Roman"/>
          <w:sz w:val="20"/>
        </w:rPr>
      </w:pPr>
      <w:r>
        <w:rPr>
          <w:rFonts w:ascii="Times New Roman" w:hAnsi="Times New Roman"/>
          <w:sz w:val="20"/>
        </w:rPr>
        <w:t xml:space="preserve">Our ASSURE WCD is a Class III device that has received a PMA. For the purpose of our PMA, our digital health platform is separate from our ASSURE WCD and is treated as a FDA Class I 510(k)exempt device. </w:t>
      </w:r>
    </w:p>
    <w:p>
      <w:pPr>
        <w:pStyle w:val="TextBody"/>
        <w:bidi w:val="0"/>
        <w:spacing w:before="240" w:after="0"/>
        <w:jc w:val="left"/>
        <w:rPr>
          <w:rFonts w:ascii="Times New Roman" w:hAnsi="Times New Roman"/>
          <w:b/>
          <w:i/>
          <w:sz w:val="20"/>
        </w:rPr>
      </w:pPr>
      <w:r>
        <w:rPr>
          <w:rFonts w:ascii="Times New Roman" w:hAnsi="Times New Roman"/>
          <w:b/>
          <w:i/>
          <w:sz w:val="20"/>
        </w:rPr>
        <w:t xml:space="preserve">510(k) Clearance Marketing Pathway </w:t>
      </w:r>
    </w:p>
    <w:p>
      <w:pPr>
        <w:pStyle w:val="TextBody"/>
        <w:bidi w:val="0"/>
        <w:spacing w:before="240" w:after="0"/>
        <w:jc w:val="left"/>
        <w:rPr>
          <w:rFonts w:ascii="Times New Roman" w:hAnsi="Times New Roman"/>
          <w:sz w:val="20"/>
        </w:rPr>
      </w:pPr>
      <w:r>
        <w:rPr>
          <w:rFonts w:ascii="Times New Roman" w:hAnsi="Times New Roman"/>
          <w:sz w:val="20"/>
        </w:rPr>
        <w:t xml:space="preserve">The FDAs permission to commercially distribute a device subject to a 510(k) premarket notification is generally known as 510(k) clearance. Under the 510(k) clearance process, the manufacturer must submit to the FDA a premarket notification demonstrating that the device is substantially equivalent to either a device that was legally marketed prior to May 28, 1976, the date upon which the Medical Device Amendments of 1976 were enacted, and for which a PMA is not required, a device that has been reclassified from Class III to Class II or I, or another commercially available device that was cleared through the 510(k) process. The FDAs 510(k) clearance process usually takes from three to twelve months but may take longer. The FDA may require additional information, including clinical data, to make a determination regarding substantial equivalence. FDA collects user fees for certain medical device submission and annual fees and for medical device establishments. </w:t>
      </w:r>
    </w:p>
    <w:p>
      <w:pPr>
        <w:pStyle w:val="TextBody"/>
        <w:bidi w:val="0"/>
        <w:spacing w:before="240" w:after="0"/>
        <w:jc w:val="left"/>
        <w:rPr>
          <w:rFonts w:ascii="Times New Roman" w:hAnsi="Times New Roman"/>
          <w:sz w:val="20"/>
        </w:rPr>
      </w:pPr>
      <w:r>
        <w:rPr>
          <w:rFonts w:ascii="Times New Roman" w:hAnsi="Times New Roman"/>
          <w:sz w:val="20"/>
        </w:rPr>
        <w:t xml:space="preserve">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 as described below.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device receives 510(k) clearance or </w:t>
      </w:r>
      <w:r>
        <w:rPr>
          <w:rFonts w:ascii="Times New Roman" w:hAnsi="Times New Roman"/>
          <w:i/>
          <w:sz w:val="20"/>
        </w:rPr>
        <w:t xml:space="preserve">de novo </w:t>
      </w:r>
      <w:r>
        <w:rPr>
          <w:rFonts w:ascii="Times New Roman" w:hAnsi="Times New Roman"/>
          <w:sz w:val="20"/>
        </w:rPr>
        <w:t xml:space="preserve">classification,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hAnsi="Times New Roman"/>
          <w:i/>
          <w:sz w:val="20"/>
        </w:rPr>
        <w:t xml:space="preserve">de novo </w:t>
      </w:r>
      <w:r>
        <w:rPr>
          <w:rFonts w:ascii="Times New Roman" w:hAnsi="Times New Roman"/>
          <w:sz w:val="20"/>
        </w:rPr>
        <w:t xml:space="preserve">classification. The FDA requires each manufacturer to determine whether the proposed change requires submission of a 510(k), </w:t>
      </w:r>
      <w:r>
        <w:rPr>
          <w:rFonts w:ascii="Times New Roman" w:hAnsi="Times New Roman"/>
          <w:i/>
          <w:sz w:val="20"/>
        </w:rPr>
        <w:t xml:space="preserve">de novo </w:t>
      </w:r>
      <w:r>
        <w:rPr>
          <w:rFonts w:ascii="Times New Roman" w:hAnsi="Times New Roman"/>
          <w:sz w:val="20"/>
        </w:rPr>
        <w:t xml:space="preserve">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or a </w:t>
      </w:r>
      <w:r>
        <w:rPr>
          <w:rFonts w:ascii="Times New Roman" w:hAnsi="Times New Roman"/>
          <w:i/>
          <w:sz w:val="20"/>
        </w:rPr>
        <w:t xml:space="preserve">de novo </w:t>
      </w:r>
      <w:r>
        <w:rPr>
          <w:rFonts w:ascii="Times New Roman" w:hAnsi="Times New Roman"/>
          <w:sz w:val="20"/>
        </w:rPr>
        <w:t xml:space="preserve">request is granted. In these circumstances, the manufacturer may be subject to significant regulatory fines or penalties.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De Novo Classification Process </w:t>
      </w:r>
    </w:p>
    <w:p>
      <w:pPr>
        <w:pStyle w:val="TextBody"/>
        <w:bidi w:val="0"/>
        <w:spacing w:before="240" w:after="0"/>
        <w:jc w:val="left"/>
        <w:rPr>
          <w:rFonts w:ascii="Times New Roman" w:hAnsi="Times New Roman"/>
          <w:sz w:val="20"/>
        </w:rPr>
      </w:pPr>
      <w:r>
        <w:rPr>
          <w:rFonts w:ascii="Times New Roman" w:hAnsi="Times New Roman"/>
          <w:sz w:val="20"/>
        </w:rPr>
        <w:t xml:space="preserve">Medical device types that the FDA has not previously classified as Class I, II, or III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w:t>
      </w:r>
      <w:r>
        <w:rPr>
          <w:rFonts w:ascii="Times New Roman" w:hAnsi="Times New Roman"/>
          <w:i/>
          <w:sz w:val="20"/>
        </w:rPr>
        <w:t xml:space="preserve">de novo </w:t>
      </w:r>
      <w:r>
        <w:rPr>
          <w:rFonts w:ascii="Times New Roman" w:hAnsi="Times New Roman"/>
          <w:sz w:val="20"/>
        </w:rPr>
        <w:t xml:space="preserve">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Pursuant to the Food and Drug Administration Safety and Innovation Act (the FDASIA) manufacturers may request </w:t>
      </w:r>
      <w:r>
        <w:rPr>
          <w:rFonts w:ascii="Times New Roman" w:hAnsi="Times New Roman"/>
          <w:i/>
          <w:sz w:val="20"/>
        </w:rPr>
        <w:t xml:space="preserve">de novo </w:t>
      </w:r>
      <w:r>
        <w:rPr>
          <w:rFonts w:ascii="Times New Roman" w:hAnsi="Times New Roman"/>
          <w:sz w:val="20"/>
        </w:rPr>
        <w:t xml:space="preserve">classification directly without first submitting a 510(k) pre-market notification to the FDA and receiving a not-substantially-equivalent determination. </w:t>
      </w:r>
      <w:r>
        <w:rPr>
          <w:rFonts w:ascii="Times New Roman" w:hAnsi="Times New Roman"/>
          <w:i/>
          <w:sz w:val="20"/>
        </w:rPr>
        <w:t xml:space="preserve">De novo </w:t>
      </w:r>
      <w:r>
        <w:rPr>
          <w:rFonts w:ascii="Times New Roman" w:hAnsi="Times New Roman"/>
          <w:sz w:val="20"/>
        </w:rPr>
        <w:t xml:space="preserve">classification requests are subject to the payment of user fees. </w:t>
      </w:r>
    </w:p>
    <w:p>
      <w:pPr>
        <w:pStyle w:val="TextBody"/>
        <w:bidi w:val="0"/>
        <w:spacing w:before="240" w:after="0"/>
        <w:jc w:val="left"/>
        <w:rPr>
          <w:rFonts w:ascii="Times New Roman" w:hAnsi="Times New Roman"/>
          <w:sz w:val="20"/>
        </w:rPr>
      </w:pPr>
      <w:r>
        <w:rPr>
          <w:rFonts w:ascii="Times New Roman" w:hAnsi="Times New Roman"/>
          <w:sz w:val="20"/>
        </w:rPr>
        <w:t xml:space="preserve">Under FDASIA, FDA is required to classify the device within 120 days following receipt of the </w:t>
      </w:r>
      <w:r>
        <w:rPr>
          <w:rFonts w:ascii="Times New Roman" w:hAnsi="Times New Roman"/>
          <w:i/>
          <w:sz w:val="20"/>
        </w:rPr>
        <w:t xml:space="preserve">de novo </w:t>
      </w:r>
      <w:r>
        <w:rPr>
          <w:rFonts w:ascii="Times New Roman" w:hAnsi="Times New Roman"/>
          <w:sz w:val="20"/>
        </w:rPr>
        <w:t xml:space="preserve">request, although the process may take significantly longer. If the manufacturer seeks reclassification into Class II, the manufacturer must include a draft proposal for special controls that are necessary to provide a reasonable assurance of the safety and effectiveness of the medical device. If FDA grants the </w:t>
      </w:r>
      <w:r>
        <w:rPr>
          <w:rFonts w:ascii="Times New Roman" w:hAnsi="Times New Roman"/>
          <w:i/>
          <w:sz w:val="20"/>
        </w:rPr>
        <w:t xml:space="preserve">de novo </w:t>
      </w:r>
      <w:r>
        <w:rPr>
          <w:rFonts w:ascii="Times New Roman" w:hAnsi="Times New Roman"/>
          <w:sz w:val="20"/>
        </w:rPr>
        <w:t xml:space="preserve">request, the device may be legally marketed in the United States. However, the FDA may reject the request if the FDA identifies a legally marketed predicate device that would be appropriate for a 510(k) notification, determines that the device is not low-to-moderate risk, or determines that General Controls would be inadequate to control the risks and/or special controls cannot be developed. After a device receives </w:t>
      </w:r>
      <w:r>
        <w:rPr>
          <w:rFonts w:ascii="Times New Roman" w:hAnsi="Times New Roman"/>
          <w:i/>
          <w:sz w:val="20"/>
        </w:rPr>
        <w:t xml:space="preserve">de novo </w:t>
      </w:r>
      <w:r>
        <w:rPr>
          <w:rFonts w:ascii="Times New Roman" w:hAnsi="Times New Roman"/>
          <w:sz w:val="20"/>
        </w:rPr>
        <w:t xml:space="preserve">classification, any modification that could significantly affect its safety or efficacy, or that would constitute a major change or modification in its intended use, will require a new 510(k) clearance or, depending on the modification, another </w:t>
      </w:r>
      <w:r>
        <w:rPr>
          <w:rFonts w:ascii="Times New Roman" w:hAnsi="Times New Roman"/>
          <w:i/>
          <w:sz w:val="20"/>
        </w:rPr>
        <w:t xml:space="preserve">de novo </w:t>
      </w:r>
      <w:r>
        <w:rPr>
          <w:rFonts w:ascii="Times New Roman" w:hAnsi="Times New Roman"/>
          <w:sz w:val="20"/>
        </w:rPr>
        <w:t xml:space="preserve">request or even PMA approval. </w:t>
      </w:r>
    </w:p>
    <w:p>
      <w:pPr>
        <w:pStyle w:val="TextBody"/>
        <w:bidi w:val="0"/>
        <w:spacing w:before="240" w:after="0"/>
        <w:jc w:val="left"/>
        <w:rPr>
          <w:rFonts w:ascii="Times New Roman" w:hAnsi="Times New Roman"/>
          <w:b/>
          <w:i/>
          <w:sz w:val="20"/>
        </w:rPr>
      </w:pPr>
      <w:r>
        <w:rPr>
          <w:rFonts w:ascii="Times New Roman" w:hAnsi="Times New Roman"/>
          <w:b/>
          <w:i/>
          <w:sz w:val="20"/>
        </w:rPr>
        <w:t xml:space="preserve">PMA Pathway </w:t>
      </w:r>
    </w:p>
    <w:p>
      <w:pPr>
        <w:pStyle w:val="TextBody"/>
        <w:bidi w:val="0"/>
        <w:spacing w:before="240" w:after="0"/>
        <w:jc w:val="left"/>
        <w:rPr>
          <w:rFonts w:ascii="Times New Roman" w:hAnsi="Times New Roman"/>
          <w:sz w:val="20"/>
        </w:rPr>
      </w:pPr>
      <w:r>
        <w:rPr>
          <w:rFonts w:ascii="Times New Roman" w:hAnsi="Times New Roman"/>
          <w:sz w:val="20"/>
        </w:rPr>
        <w:t xml:space="preserve">Class III devices require a PMA before they can be marketed, although some pre-amendment Class III devices for which the FDA has not yet required a PMA are cleared through the 510(k) process. The PMA process is more demanding than the 510(k) premarket notification process. In a PMA application, the applicant must demonstrate that the device is safe and effective, and the PMA application must be supported by extensive data, including data from pre-clinical studies and human clinical trials. The PMA application must also contain a full description of the device and its components, a full description of the methods, facilities and controls used for manufacturing, and proposed labeling. The PMA process is burdensome, and in practice, the FDAs review of a PMA application may take up to several years following initial application.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a PMA application, the FDA determines whether the application is sufficiently complete to permit a substantive review. If the FDA accepts the application for review, it has 180 days under the FDCA to complete its review of a PMA application, although in practice, the FDAs review often takes significantly longer, and can take up to several years. During this review period, the FDA may request additional information or clarification of information already provided. The FDA can delay, limit or deny approval of a PMA application for many reasons,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device may not be safe, effective, reliable or accurate to the FDAs satisfaction;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from pre-clinical studies and clinical trials may be insufficient to support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process or facilities may not meet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FDA approval policies or adoption of new regulations may require additional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its clinical trial data and clinical sites, as well as its third-party manufacturers or suppliers manufacturing facility or facilities to ensure compliance with FDA requirements, including the Quality System Regulation, or QSR. PMA applications are also subject to the payment of user fees, which for fiscal year 2021 includes a standard application fee of $365,657. </w:t>
      </w:r>
    </w:p>
    <w:p>
      <w:pPr>
        <w:pStyle w:val="TextBody"/>
        <w:bidi w:val="0"/>
        <w:spacing w:before="240" w:after="0"/>
        <w:jc w:val="left"/>
        <w:rPr>
          <w:rFonts w:ascii="Times New Roman" w:hAnsi="Times New Roman"/>
          <w:sz w:val="20"/>
        </w:rPr>
      </w:pPr>
      <w:r>
        <w:rPr>
          <w:rFonts w:ascii="Times New Roman" w:hAnsi="Times New Roman"/>
          <w:sz w:val="20"/>
        </w:rPr>
        <w:t xml:space="preserve">The FDA will approve the new device for commercial distribution if it determines that the data and information in the PMA application constitute valid scientific evidence and that there is reasonable assurance that the device is safe and effective for its intended use(s).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 PMA or requirements to conduct additional clinical studies post-approval. The FDA may condition a PMA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 </w:t>
      </w:r>
    </w:p>
    <w:p>
      <w:pPr>
        <w:pStyle w:val="TextBody"/>
        <w:bidi w:val="0"/>
        <w:spacing w:before="240" w:after="0"/>
        <w:jc w:val="left"/>
        <w:rPr>
          <w:rFonts w:ascii="Times New Roman" w:hAnsi="Times New Roman"/>
          <w:sz w:val="20"/>
        </w:rPr>
      </w:pPr>
      <w:r>
        <w:rPr>
          <w:rFonts w:ascii="Times New Roman" w:hAnsi="Times New Roman"/>
          <w:sz w:val="20"/>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application, except that the supplement is limited to information needed to support any changes from the device covered by the original PMA application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application are not applicable for the change in demonstrating a reasonable assurance of safety and effectiveness.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are almost always required to support a PMA application and are sometimes required to support a 510(k) submission. We completed clinical trials for our ASSURE WCD in March 2020 and received our PMA for our ASSURE WCD on July 27, 2021 We are currently engaged in a post-approval clinical study of our ASSURE WCD and may in the future engage in additional clinical trials and other clinical initiatives to support additional indications and stronger guideline recommendations for WCD therapy and to obtain regulatory approvals to market our products in new markets. All clinical investigations of investigational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and obtain Institutional Review Board, or IRB approval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w:t>
      </w:r>
    </w:p>
    <w:p>
      <w:pPr>
        <w:pStyle w:val="TextBody"/>
        <w:bidi w:val="0"/>
        <w:spacing w:before="240" w:after="0"/>
        <w:jc w:val="left"/>
        <w:rPr>
          <w:rFonts w:ascii="Times New Roman" w:hAnsi="Times New Roman"/>
          <w:sz w:val="20"/>
        </w:rPr>
      </w:pPr>
      <w:r>
        <w:rPr>
          <w:rFonts w:ascii="Times New Roman" w:hAnsi="Times New Roman"/>
          <w:sz w:val="20"/>
        </w:rPr>
        <w:t xml:space="preserve">In addition, regardless of the degree of risk presented by the medical device, clinical studies must be approved by, and conducted under the oversight of, an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and does not require an IDE application,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The FDAs approval of an IDE application allows clinical testing to go forward, but it does not bind the FDA to accept the results of the trial as sufficient to prove the products safety and efficacy, even if the trial meets its intended success criteria. All clinical trials must be conducted in accordance with applicable FDA regulations including for example those that govern good clinical practices, IRB review, investigational device labeling, prohibitions on promotion, and recordkeeping, reporting and monitoring responsibilities of study sponsors and study investigators.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Clinical trials that meet certain requirements must be entered into the clinical trials registry at clinicaltrials.gov. </w:t>
      </w:r>
    </w:p>
    <w:p>
      <w:pPr>
        <w:pStyle w:val="TextBody"/>
        <w:bidi w:val="0"/>
        <w:spacing w:before="240" w:after="0"/>
        <w:jc w:val="left"/>
        <w:rPr>
          <w:rFonts w:ascii="Times New Roman" w:hAnsi="Times New Roman"/>
          <w:sz w:val="20"/>
        </w:rPr>
      </w:pPr>
      <w:r>
        <w:rPr>
          <w:rFonts w:ascii="Times New Roman" w:hAnsi="Times New Roman"/>
          <w:sz w:val="20"/>
        </w:rPr>
        <w:t xml:space="preserve">The commencement or completion of any clinical trial may be delayed or halted, or be inadequate to support approval of a PMA application, for numerous reasons,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do not approve a clinical trial protocol or a clinical trial, or place a clinical trial on 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do not enroll in clinical trials at the rate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sponsor or study sites do not comply with trial protocols;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follow-up is not at the rate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experience adverse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2"/>
        <w:gridCol w:w="8981"/>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die during a clinical trial, even though their death may not be related to the products that are part of our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IRBs and third-party clinical investigators may delay or reject the trial protocol;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clinical investigators decline to participate in a trial or do not perform a trial on the anticipated schedule or consistent with the clinical trial protocol, good clinical practices or other FDA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sponsor or third-party organizations do not perform data collection, monitoring and analysis in a timely or accurate manner or consistent with the clinical trial protocol or investigational or statistical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clinical investigators have significant financial interests related to the sponsor or the study that the FDA deems to make the study results unreliable, or the company or investigators fail to disclose such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inspections of our clinical trials, which may, among other things, require us to undertake corrective action or suspend or terminate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governmental regulations or administrative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interim or final results of the clinical trial are inconclusive or unfavorable as to safety or efficacy;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concludes that our trial design is inadequate to demonstrate safety and efficacy.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Post-market Regulation </w:t>
      </w:r>
    </w:p>
    <w:p>
      <w:pPr>
        <w:pStyle w:val="TextBody"/>
        <w:bidi w:val="0"/>
        <w:spacing w:before="240" w:after="0"/>
        <w:jc w:val="left"/>
        <w:rPr>
          <w:rFonts w:ascii="Times New Roman" w:hAnsi="Times New Roman"/>
          <w:sz w:val="20"/>
        </w:rPr>
      </w:pPr>
      <w:r>
        <w:rPr>
          <w:rFonts w:ascii="Times New Roman" w:hAnsi="Times New Roman"/>
          <w:sz w:val="20"/>
        </w:rPr>
        <w:t xml:space="preserve">After a device is cleared or approved for marketing, numerous and pervasive regulatory requirements continue to apply. These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establishment registration and device listing with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QSR requirements, which require manufacturers, including third-party manufacturers and suppliers, to follow stringent design, testing, control, documentation and other quality assurance procedures during all aspects of the design and manufacturing process, as well as maintain various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labeling and marketing regulations, which require that promotion is truthful, not misleading, fairly balanced and provide adequate directions for use and that all claims are substantiated, and also prohibit the promotion of products for uncleared, unapproved or off-label uses and impose other restrictions on labeling;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related to promotional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guidance on off-label dissemination of information and responding to unsolicited requests for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clearance or approval of product modifications to 510(k)-cleared devices that could significantly affect safety or effectiveness or that would constitute a major change in intended use of one of our cleared devices, or approval of a supplement for certain modifications to PMA devices;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the federal law and regulations requiring Unique Device Identifiers (UDI) on devices and also requiring the submission of certain information about each device to the FDAs Global Unique Device Identification Database (GUDID);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FDAs recall authority, whereby the agency can order device manufacturers to recall from the market a product that is in violation of governing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post-market surveillance activities and regulations, which apply when deemed by the FDA to be necessary to protect the public health or to provide additional safety and effectiveness data for the device.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FDA may require us to conduct post-market surveillance studies or establish and maintain a system for tracking our products through the chain of distribution to the patient level. The FDA enforces regulatory requirements by conducting periodic, unannounced inspections and market surveillance. Inspections may include the manufacturing facilities of our subcontractors. </w:t>
      </w:r>
    </w:p>
    <w:p>
      <w:pPr>
        <w:pStyle w:val="TextBody"/>
        <w:bidi w:val="0"/>
        <w:spacing w:before="240" w:after="0"/>
        <w:jc w:val="left"/>
        <w:rPr>
          <w:rFonts w:ascii="Times New Roman" w:hAnsi="Times New Roman"/>
          <w:sz w:val="20"/>
        </w:rPr>
      </w:pPr>
      <w:r>
        <w:rPr>
          <w:rFonts w:ascii="Times New Roman" w:hAnsi="Times New Roman"/>
          <w:sz w:val="20"/>
        </w:rPr>
        <w:t xml:space="preserve">The FDA has broad regulatory compliance and enforcement powers. Failure to comply with applicable regulatory requirements can result in enforcement actions by the FDA and other regulatory agencies. These may include any of the following sanctions or consequences: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warning letters or untitled letters that require corrective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and civil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approving or refusal to approve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or withdrawal of FDA 510(k) clearance or PMAs that have already been granted;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 withdrawal, administrative detention or seizure;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 of production, including partial suspension or total shutdown;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restrictions, including refusal to grant export approvals for devices being shipped to foreign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consent decrees;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criminal prosecution.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our contract manufacturers, specification developers and some suppliers of components of our products, are also required to comply with current good manufacturing practice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periodic unannounced inspections that may include the manufacturing facilities of our subcontractors. If the FDA believes that we or any of our contract manufacturers or regulated suppliers are not in compliance with these requirements, it can shut down such manufacturing operations, require recall of our products, refuse to approve new marketing applications, institute legal proceedings to detain or seize products, enjoin future violations or assess civil and criminal penalties against us or our officers or other employees. </w:t>
      </w:r>
    </w:p>
    <w:p>
      <w:pPr>
        <w:pStyle w:val="TextBody"/>
        <w:bidi w:val="0"/>
        <w:spacing w:before="240" w:after="0"/>
        <w:jc w:val="left"/>
        <w:rPr>
          <w:rFonts w:ascii="Times New Roman" w:hAnsi="Times New Roman"/>
          <w:b/>
          <w:i/>
          <w:sz w:val="20"/>
        </w:rPr>
      </w:pPr>
      <w:r>
        <w:rPr>
          <w:rFonts w:ascii="Times New Roman" w:hAnsi="Times New Roman"/>
          <w:b/>
          <w:i/>
          <w:sz w:val="20"/>
        </w:rPr>
        <w:t xml:space="preserve">Fraud and Abuse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FDA restrictions, there are numerous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 </w:t>
      </w:r>
    </w:p>
    <w:p>
      <w:pPr>
        <w:pStyle w:val="TextBody"/>
        <w:bidi w:val="0"/>
        <w:spacing w:before="240" w:after="0"/>
        <w:jc w:val="left"/>
        <w:rPr>
          <w:rFonts w:ascii="Times New Roman" w:hAnsi="Times New Roman"/>
          <w:b/>
          <w:i/>
          <w:sz w:val="20"/>
        </w:rPr>
      </w:pPr>
      <w:r>
        <w:rPr>
          <w:rFonts w:ascii="Times New Roman" w:hAnsi="Times New Roman"/>
          <w:b/>
          <w:i/>
          <w:sz w:val="20"/>
        </w:rPr>
        <w:t xml:space="preserve">Federal Anti-Kickback and Self-Referral Laws </w:t>
      </w:r>
    </w:p>
    <w:p>
      <w:pPr>
        <w:pStyle w:val="TextBody"/>
        <w:bidi w:val="0"/>
        <w:spacing w:before="240" w:after="0"/>
        <w:jc w:val="left"/>
        <w:rPr>
          <w:rFonts w:ascii="Times New Roman" w:hAnsi="Times New Roman"/>
          <w:sz w:val="20"/>
        </w:rPr>
      </w:pPr>
      <w:r>
        <w:rPr>
          <w:rFonts w:ascii="Times New Roman" w:hAnsi="Times New Roman"/>
          <w:sz w:val="20"/>
        </w:rPr>
        <w:t xml:space="preserve">The federal Anti-Kickback Statute prohibits persons from knowingly and willfully soliciting, receiving, offering or providing remuneration (including any kickback, bribe or rebate), directly or indirectly, overtly or covertly, to induce either the referral of an individual, or the furnishing, recommending, or arranging of a good or service, for which payment may be made under a federal healthcare program such as Medicare and Medicaid or other federal healthcare programs. The term remuneration has been broadly interpreted to include anything of value, including such items as gifts, discounts, the furnishing of supplies or equipment, credit arrangements, waiver of payments and providing anything at less than its fair market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review of all its relevant facts and circumstances. Several courts have interpreted the statutes intent requirement to mean that if any one purpose of an arrangement involving remuneration is to induce referrals of (or purchases, or recommendations related to) federal healthcare covered business, the Anti-Kickback Statute has been implicated and potentially violated. </w:t>
      </w:r>
    </w:p>
    <w:p>
      <w:pPr>
        <w:pStyle w:val="TextBody"/>
        <w:bidi w:val="0"/>
        <w:spacing w:before="240" w:after="0"/>
        <w:jc w:val="left"/>
        <w:rPr>
          <w:rFonts w:ascii="Times New Roman" w:hAnsi="Times New Roman"/>
          <w:sz w:val="20"/>
        </w:rPr>
      </w:pPr>
      <w:r>
        <w:rPr>
          <w:rFonts w:ascii="Times New Roman" w:hAnsi="Times New Roman"/>
          <w:sz w:val="20"/>
        </w:rPr>
        <w:t xml:space="preserve">The penalties for violating the federal Anti-Kickback Statute include imprisonment for up to five years, fines of up to $25,000 per violation and possible exclusion from federal healthcare programs such as Medicare and Medicaid. Many states have adopted prohibitions similar to the federal Anti-Kickback Statute, some of which do not have the same exceptions and apply to the referral of patients for healthcare services reimbursed by any source, not only by the Medicare and Medicaid programs. Further, the Anti-Kickback Statute was amended by the Patient Protection and Affordable Care Act (PPACA). Specifically, under the Anti-Kickback Statute, the government must prove the defendant acted knowingly to prove a violation occurred. The PPACA added a provision to clarify that with respect to violations of the Anti-Kickback Statute, a person need not have actual knowledge of the statute or specific intent to commit a violation of the statute. This change effectively overturns case law interpretations that set a higher standard under which prosecutors had to prove the specific intent to violate the law. In addition, the PPACA codified case law that a claim including items or services resulting from a violation of the federal Anti-Kickback Statute constitutes a false or fraudulent claim for purposes of the federal civil False Claims Act. </w:t>
      </w:r>
    </w:p>
    <w:p>
      <w:pPr>
        <w:pStyle w:val="TextBody"/>
        <w:bidi w:val="0"/>
        <w:spacing w:before="240" w:after="0"/>
        <w:jc w:val="left"/>
        <w:rPr>
          <w:rFonts w:ascii="Times New Roman" w:hAnsi="Times New Roman"/>
          <w:sz w:val="20"/>
        </w:rPr>
      </w:pPr>
      <w:r>
        <w:rPr>
          <w:rFonts w:ascii="Times New Roman" w:hAnsi="Times New Roman"/>
          <w:sz w:val="20"/>
        </w:rPr>
        <w:t xml:space="preserve">We plan to provide the initial training to providers and patients necessary for appropriate use of our ASSURE WCD through training and educating patients, cardiologists, cardiac electrophysiologists, key opinion leaders from these disciplines and medical societies. We may hire or contract with a network of patient care specialists to assist with fitting and training patients and such specialists will be reimbursed for their services at fair market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Noncompliance with the federal Anti-Kickback Statute could result in our exclusion from Medicare, Medicaid or other governmental programs, restrictions on our ability to operate in certain jurisdictions, and civil and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Federal law also includes a provision commonly known as the Stark Law, which prohibits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 Violation of the Stark Law could result in denial of payment, disgorgement of reimbursements received under a noncompliant arrangement, civil penalties, and exclusion from Medicare, Medicaid or other governmental programs. We believe that we have structured our provider arrangements to comply with current Stark Law requirements. Nevertheless, a determination of liability under such laws could result in fines and penalties and restrictions on our ability to operate in these jurisdictions.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Federal False Claims Act </w:t>
      </w:r>
    </w:p>
    <w:p>
      <w:pPr>
        <w:pStyle w:val="TextBody"/>
        <w:bidi w:val="0"/>
        <w:spacing w:before="240" w:after="0"/>
        <w:jc w:val="left"/>
        <w:rPr>
          <w:rFonts w:ascii="Times New Roman" w:hAnsi="Times New Roman"/>
          <w:sz w:val="20"/>
        </w:rPr>
      </w:pPr>
      <w:r>
        <w:rPr>
          <w:rFonts w:ascii="Times New Roman" w:hAnsi="Times New Roman"/>
          <w:sz w:val="20"/>
        </w:rPr>
        <w:t xml:space="preserve">The Federal False Claims Act provides, in part, that the federal government may bring a lawsuit against any person whom it believes has knowingly presented, or caused to be presented, a false or fraudulent request for payment from the federal government, or who has made a false statement or used a false record to get a claim approved. In addition, amendments in 1986 to the Federal False Claims Act have made it easier for private parties to bring qui tam whistleblower lawsuits against companies under the Federal False Claims Act. Penalties include fines ranging from $5,500 to $11,000 for each false claim, plus three times the amount of damages that the federal government sustained because of the act of that person. Qui tam actions have increased significantly in recent years, causing greater numbers of healthcare companies to have to defend a false claim action, pay fines or be excluded from Medicare, Medicaid or other federal or state healthcare programs as a result of an investigation arising out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There are other federal anti-fraud laws that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HIPAA established two federal crimes in related to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Civil Monetary Penalties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Anti-Kickback Statute and the civil and criminal False Claims Acts, the federal government has the authority to seek civil monetary penalties (CMPs), assessments, and exclusion against an individual or entity based on a wide variety of prohibited conduct. For example, the Civil Monetary Penalties Law authorizes the imposition of substantial CMPs against an entity that engages in activities including, but not limited to: (1) knowingly presenting or causing to be presented, a claim for services not provided as claimed or which is otherwise false or fraudulent in any way; (2) knowingly giving or causing to be given false or misleading information reasonably expected to influence the decision to discharge a patient; (3) offering or giving remuneration to any beneficiary of a federal healthcare program likely to influence the receipt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reimbursable items or services; (4) arranging for reimbursable services with an entity which is excluded from participation from a federal healthcare program; (5) knowingly or willfully soliciting or receiving remuneration for a referral of a federal healthcare program beneficiary; or (6) using a payment intended for a federal health care program beneficiary for another use. Noncompliance can result in civil money penalties of up to $10,000 for each wrongful act, assessment of three times the amount claimed for each item or service and exclusion from the federal healthcare programs. </w:t>
      </w:r>
    </w:p>
    <w:p>
      <w:pPr>
        <w:pStyle w:val="TextBody"/>
        <w:bidi w:val="0"/>
        <w:spacing w:before="240" w:after="0"/>
        <w:jc w:val="left"/>
        <w:rPr>
          <w:rFonts w:ascii="Times New Roman" w:hAnsi="Times New Roman"/>
          <w:b/>
          <w:i/>
          <w:sz w:val="20"/>
        </w:rPr>
      </w:pPr>
      <w:r>
        <w:rPr>
          <w:rFonts w:ascii="Times New Roman" w:hAnsi="Times New Roman"/>
          <w:b/>
          <w:i/>
          <w:sz w:val="20"/>
        </w:rPr>
        <w:t xml:space="preserve">State Fraud and Abuse Provisions </w:t>
      </w:r>
    </w:p>
    <w:p>
      <w:pPr>
        <w:pStyle w:val="TextBody"/>
        <w:bidi w:val="0"/>
        <w:spacing w:before="240" w:after="0"/>
        <w:jc w:val="left"/>
        <w:rPr>
          <w:rFonts w:ascii="Times New Roman" w:hAnsi="Times New Roman"/>
          <w:sz w:val="20"/>
        </w:rPr>
      </w:pPr>
      <w:r>
        <w:rPr>
          <w:rFonts w:ascii="Times New Roman" w:hAnsi="Times New Roman"/>
          <w:sz w:val="20"/>
        </w:rPr>
        <w:t xml:space="preserve">Many states have also adopted some form of anti-kickback and anti-referral laws and a false claims act. We believe that we are in compliance with such laws. Violations of state fraud and abuse laws may be punishable by criminal and civil sanctions, including fines and civil monetary penalties, the possibility of exclusion from state healthcare programs, disgorgement, and corporate integrity agreements, which impose, among other things, rigorous operational and monitoring requirements on companies. Similar sanctions and penalties, as well as imprisonment, also can be imposed upon executive officers and employees of such companies.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Physician Payment Sunshine Act </w:t>
      </w:r>
    </w:p>
    <w:p>
      <w:pPr>
        <w:pStyle w:val="TextBody"/>
        <w:bidi w:val="0"/>
        <w:spacing w:before="240" w:after="0"/>
        <w:jc w:val="left"/>
        <w:rPr>
          <w:rFonts w:ascii="Times New Roman" w:hAnsi="Times New Roman"/>
          <w:sz w:val="20"/>
        </w:rPr>
      </w:pPr>
      <w:r>
        <w:rPr>
          <w:rFonts w:ascii="Times New Roman" w:hAnsi="Times New Roman"/>
          <w:sz w:val="20"/>
        </w:rPr>
        <w:t xml:space="preserve">Transparency laws regarding payments or other items of value provided to healthcare providers and teaching hospitals may also impact our business practices. The federal Physician Payment Sunshine Act requires most medical device manufacturers to report annually to the Secretary of Human Health Services financial arrangements, payments, or other transfers of value made by that entity to physicians and teaching hospitals. The payment information is made publicly available in a searchable format on a CMS website. We will need to dedicate significant resources to establish and maintain systems and processes in order to comply with these regulations. Failure to comply with the reporting requirements can result in significant civil monetary penalties.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Data Privacy and Security Laws </w:t>
      </w:r>
    </w:p>
    <w:p>
      <w:pPr>
        <w:pStyle w:val="TextBody"/>
        <w:bidi w:val="0"/>
        <w:spacing w:before="240" w:after="0"/>
        <w:jc w:val="left"/>
        <w:rPr>
          <w:rFonts w:ascii="Times New Roman" w:hAnsi="Times New Roman"/>
          <w:sz w:val="20"/>
        </w:rPr>
      </w:pPr>
      <w:r>
        <w:rPr>
          <w:rFonts w:ascii="Times New Roman" w:hAnsi="Times New Roman"/>
          <w:sz w:val="20"/>
        </w:rPr>
        <w:t xml:space="preserve">We may also be subject to data privacy and security regulation by both the federal government and the states in which we conduct our business. The HIPAA, as amended by the Health Information Technology for Economic and Clinical Health Act (HITECH), and their respective implementing regulations, imposes specified requirements relating to the privacy, security and transmission of individually identifiable health information, applicable to health plans, healthcare clearinghouses and certain health care providers, referred to as covered entities, and the business associates with whom such covered entities contract for services. Among other things, HITECH makes HIPAAs security standards directly applicable to business associates, defined as service providers of covered entities that create, receive, maintain or transmit protected health information in connection with providing a service for or on behalf of a covered entity. In performing our activities as a DME supplier, we are a covered entity under HIPAA, and as a result, must implement a HIPAA privacy and security program in accordance with HIPAA requirements. In addition, we are a business associate with respect to our billing distribution partnership with a third-party DME provider, to which we will provide assistance with preparing and reviewing claims to be submitted to payors, and as a result, must comply with the HIPAA privacy and security requirements set forth in our business associate agreement. With regard to our other operations, we are not a covered entity or a business associate, though we may be subject to certain HIPAA requirements in our collection of individually identifiable health information from patients. HITECH also created four new tiers of civil monetary penalties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HIPAA and each other in significant ways and may not have the same effect. At the state level, the California Consumer Privacy Act, as amended by the California Privacy Rights Act, for example, affords California residents expended privacy rights and provides for civil penalties for violations and a private right of action related to certain data security breaches; and Washingtons My Health My Data Act (MHMDA) extends privacy protections for Washington residents for health data beyond what HIPAA covers,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granting Washington residents with more control over their health data by allowing them to access, delete, and restrict its use. Similar legislations have been advanced in other states as well as in Congress. </w:t>
      </w:r>
    </w:p>
    <w:p>
      <w:pPr>
        <w:pStyle w:val="TextBody"/>
        <w:bidi w:val="0"/>
        <w:spacing w:before="240" w:after="0"/>
        <w:jc w:val="left"/>
        <w:rPr>
          <w:rFonts w:ascii="Times New Roman" w:hAnsi="Times New Roman"/>
          <w:sz w:val="20"/>
        </w:rPr>
      </w:pPr>
      <w:r>
        <w:rPr>
          <w:rFonts w:ascii="Times New Roman" w:hAnsi="Times New Roman"/>
          <w:sz w:val="20"/>
        </w:rPr>
        <w:t xml:space="preserve">The Federal Trade Commission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also subject to the Bermuda Personal Information Protection 2016 Act (PIPA). The PIPA regulates how any organization in Bermuda may use personal information. PIPA will be brought fully into effect on January 1, 2025. After this date, organizations in Bermuda will be required to comply with a combination of principle based and prescriptive rules. Prescriptive rules for in scope organizations (i.e., those that use personal information, noting use is broadly defined) include a requirement to only use personal information where a legal condition applies, a requirement to appoint a data privacy officer, a requirement to provide all individuals with a privacy notice that must contain at a minimum certain required information and requirement to understand and comply with individual rights around access, rectification and erasure. </w:t>
      </w:r>
    </w:p>
    <w:p>
      <w:pPr>
        <w:pStyle w:val="TextBody"/>
        <w:bidi w:val="0"/>
        <w:spacing w:before="240" w:after="0"/>
        <w:jc w:val="left"/>
        <w:rPr>
          <w:rFonts w:ascii="Times New Roman" w:hAnsi="Times New Roman"/>
          <w:sz w:val="20"/>
        </w:rPr>
      </w:pPr>
      <w:r>
        <w:rPr>
          <w:rFonts w:ascii="Times New Roman" w:hAnsi="Times New Roman"/>
          <w:sz w:val="20"/>
        </w:rPr>
        <w:t xml:space="preserve">Although we work to comply with applicable laws, regulations and standards, our contractual obligations, research protocols, and other obligations, any actual or perceived failure by us or our employees, representatives, contractors, consultants, or other third parties to comply with such requirements or adequately address data privacy and security concerns, even if unfounded, could result in, among other adverse impacts,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U.S. Foreign Corrupt Practices Act </w:t>
      </w:r>
    </w:p>
    <w:p>
      <w:pPr>
        <w:pStyle w:val="TextBody"/>
        <w:bidi w:val="0"/>
        <w:spacing w:before="240" w:after="0"/>
        <w:jc w:val="left"/>
        <w:rPr>
          <w:rFonts w:ascii="Times New Roman" w:hAnsi="Times New Roman"/>
          <w:sz w:val="20"/>
        </w:rPr>
      </w:pPr>
      <w:r>
        <w:rPr>
          <w:rFonts w:ascii="Times New Roman" w:hAnsi="Times New Roman"/>
          <w:sz w:val="20"/>
        </w:rPr>
        <w:t xml:space="preserve">The U.S. Foreign Corrupt Practices Act (the FCPA) prohibits U.S. corporations and their representatives from offering, promising, authorizing or making corrupt payments, gifts or transfers to any foreign government official, government staff member, political party or political candidate in an attempt to obtain or retain business abroad.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 </w:t>
      </w:r>
    </w:p>
    <w:p>
      <w:pPr>
        <w:pStyle w:val="TextBody"/>
        <w:bidi w:val="0"/>
        <w:spacing w:before="240" w:after="0"/>
        <w:jc w:val="left"/>
        <w:rPr>
          <w:rFonts w:ascii="Times New Roman" w:hAnsi="Times New Roman"/>
          <w:b/>
          <w:sz w:val="20"/>
        </w:rPr>
      </w:pPr>
      <w:r>
        <w:rPr>
          <w:rFonts w:ascii="Times New Roman" w:hAnsi="Times New Roman"/>
          <w:b/>
          <w:sz w:val="20"/>
        </w:rPr>
        <w:t xml:space="preserve">U.S. Centers for Medicare and Medicaid Services; Coverage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our commercial success depends in part on the extent to which governmental authorities, private health insurers and other third-party payors provide coverage for and establish adequate reimbursement levels for our products and related services. Medicare is a federal program administered by CMS through fiscal intermediaries and carriers. Available to individuals aged 65 or over, and certain other individuals, the Medicare program provides, among other things, healthcare benefits that cover, within prescribed limits, the major costs of most medically necessary care for such individuals, subject to certain deductibles and copayments.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CMS has established guidelines for the coverage and reimbursement of certain products, supplies and services. In general, in order to be reimbursed by Medicare, a healthcare product or service furnished to a Medicare beneficiary must be reasonable and necessary for the diagnosis or treatment of an illness or injury, or to improve the functioning of a malformed body part. The methodology for determining coverage status and the amount of Medicare reimbursement varies based upon, among other factors, the setting in which a Medicare beneficiary received healthcare products and services. Any changes in federal legislation, regulations and policy affecting Medicare coverage and reimbursement relative to our products could have a material effect on our performance. </w:t>
      </w:r>
    </w:p>
    <w:p>
      <w:pPr>
        <w:pStyle w:val="TextBody"/>
        <w:bidi w:val="0"/>
        <w:spacing w:before="240" w:after="0"/>
        <w:jc w:val="left"/>
        <w:rPr>
          <w:rFonts w:ascii="Times New Roman" w:hAnsi="Times New Roman"/>
          <w:sz w:val="20"/>
        </w:rPr>
      </w:pPr>
      <w:r>
        <w:rPr>
          <w:rFonts w:ascii="Times New Roman" w:hAnsi="Times New Roman"/>
          <w:sz w:val="20"/>
        </w:rPr>
        <w:t xml:space="preserve">CMS also administers the Medicaid program, a cooperative federal/state program that provides medical assistance benefits to qualifying low income and medically needy persons. State participation in Medicaid is optional, and each state is given discretion in developing and administering its own Medicaid program, subject to certain federal requirements pertaining to payment levels, eligibility criteria and minimum categories of services. The coverage, method and level of reimbursement varies from state to state and is subject to each states budget restraints. Changes to the coverage, method or level of reimbursement for our products may affect future revenue negatively if reimbursement amounts are decreased or discontinued. </w:t>
      </w:r>
    </w:p>
    <w:p>
      <w:pPr>
        <w:pStyle w:val="TextBody"/>
        <w:bidi w:val="0"/>
        <w:spacing w:before="240" w:after="0"/>
        <w:jc w:val="left"/>
        <w:rPr>
          <w:rFonts w:ascii="Times New Roman" w:hAnsi="Times New Roman"/>
          <w:sz w:val="20"/>
        </w:rPr>
      </w:pPr>
      <w:r>
        <w:rPr>
          <w:rFonts w:ascii="Times New Roman" w:hAnsi="Times New Roman"/>
          <w:sz w:val="20"/>
        </w:rPr>
        <w:t xml:space="preserve">All CMS programs are subject to statutory and regulatory changes, retroactive and prospective rate adjustments, administrative rulings, interpretations of policy, intermediary determinations, and government funding restrictions, all of which may materially increase or decrease the rate of program payments to healthcare facilities and other healthcare providers, including those paid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Significant uncertainty exists as to the coverage and reimbursement status of any product candidates for which we may seek regulatory approval by the FDA or other government authorities.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With respect to our ASSURE WCD, and any other product candidates we may develop, to the extent they are approved, the distribution of our ASSURE WCD and other future product candidates will depend, in part, on the extent to which third-party payors, including government health programs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accuracy of claims and overall cost-effectiveness of medical products and services and imposing controls to manage costs. Third-party payors may limit coverage to specific products on an approved list, also known as a formulary, which might not include all of the approved products for a particular indication.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secure coverage and reimbursement for any product that might be approved for sale, a company may need to conduct expensive clinical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revenues,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 </w:t>
      </w:r>
    </w:p>
    <w:p>
      <w:pPr>
        <w:pStyle w:val="TextBody"/>
        <w:bidi w:val="0"/>
        <w:spacing w:before="24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continue to be proposals by the federal government, state governments, regulators and third-party payors to control or manage the increased costs of healthcare and, more generally, to reform the U.S. healthcare system. Adoption of price controls and cost-containment measures, and adoption of more restrictive policies in jurisdictions with existing controls and measures, could further limit a companys revenue generated from the sale of any approved products.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March 2010, the Affordable Care Act (the ACA) was enacted in the United States. The ACA contains a number of significant provisions, including those governing enrollment in federal healthcare programs, reimbursement changes and fraud and abuse measures, all of which will impact existing government healthcare programs and will result in the development of new programs. </w:t>
      </w:r>
    </w:p>
    <w:p>
      <w:pPr>
        <w:pStyle w:val="TextBody"/>
        <w:bidi w:val="0"/>
        <w:spacing w:before="240" w:after="0"/>
        <w:jc w:val="left"/>
        <w:rPr>
          <w:rFonts w:ascii="Times New Roman" w:hAnsi="Times New Roman"/>
          <w:sz w:val="20"/>
        </w:rPr>
      </w:pPr>
      <w:r>
        <w:rPr>
          <w:rFonts w:ascii="Times New Roman" w:hAnsi="Times New Roman"/>
          <w:sz w:val="20"/>
        </w:rPr>
        <w:t xml:space="preserve">Some of the provisions of the ACA have yet to be fully implemented, while certain provisions have been subject to judicial and Congressional challenges. Congress has considered legislation that would repeal or repeal and replace all or part of the ACA. While Congress has not passed comprehensive repeal legislation, two bills affecting the implementation of certain taxes under the ACA have been signed into law. The Tax Act includes a provision that decreased the tax-based shared responsibility payment imposed by the ACA on certain 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held oral arguments on November 10, 2020. On June 17, 2021, the United States Supreme Court dismissed this challenge to the ACA without specifically ruling on its constitutionality. </w:t>
      </w:r>
    </w:p>
    <w:p>
      <w:pPr>
        <w:pStyle w:val="TextBody"/>
        <w:bidi w:val="0"/>
        <w:spacing w:before="240" w:after="0"/>
        <w:jc w:val="left"/>
        <w:rPr>
          <w:rFonts w:ascii="Times New Roman" w:hAnsi="Times New Roman"/>
          <w:sz w:val="20"/>
        </w:rPr>
      </w:pPr>
      <w:r>
        <w:rPr>
          <w:rFonts w:ascii="Times New Roman" w:hAnsi="Times New Roman"/>
          <w:sz w:val="20"/>
        </w:rPr>
        <w:t xml:space="preserve">On January 22, 2018, former President Trump signed a continuing resolution on appropriations for fiscal year 2018 that delayed the implementation of certain ACA -mandated fees, including the so-called Cadillac tax on certain high cost employer-sponsored insurance plans, the annual fee imposed on certain health insurance providers based on market share, and the medical device excise tax on non-exempt medical devices; however, on December 20, 2019, former President Trump signed into law the Further Consolidated Appropriations Act (H.R. 1865), which repealed the Cadillac tax, the health insurance provider tax, and the medical device excise tax. Other legislative changes have been proposed and adopted in the United States since the Affordable Care Act was enacted. </w:t>
      </w:r>
    </w:p>
    <w:p>
      <w:pPr>
        <w:pStyle w:val="TextBody"/>
        <w:bidi w:val="0"/>
        <w:spacing w:before="240" w:after="0"/>
        <w:jc w:val="left"/>
        <w:rPr>
          <w:rFonts w:ascii="Times New Roman" w:hAnsi="Times New Roman"/>
          <w:sz w:val="20"/>
        </w:rPr>
      </w:pPr>
      <w:r>
        <w:rPr>
          <w:rFonts w:ascii="Times New Roman" w:hAnsi="Times New Roman"/>
          <w:sz w:val="20"/>
        </w:rPr>
        <w:t xml:space="preserve">In December 2018, CMS published a final rule permitting further collections and payments to and from certain ACA qualified health plans and health insurance issuers under the Affordable Care Act risk adjustment program in response to the outcome of the federal district court litigation regarding the method CMS uses to determine this risk adjustment. Since then, the ACA risk adjustment program payment parameters have been updated annually. In addition, CMS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On August 2, 2011, the Budget Control Act of 2011 was signed into law, which, among other things, includes reductions to Medicare payments to providers of 2% per fiscal year, which went into effect on April 1, 2013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subsequent legislative amendments to the statute, including the BBA, will remain in effect through 2030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p>
    <w:p>
      <w:pPr>
        <w:pStyle w:val="TextBody"/>
        <w:bidi w:val="0"/>
        <w:spacing w:before="240" w:after="0"/>
        <w:jc w:val="left"/>
        <w:rPr>
          <w:rFonts w:ascii="Times New Roman" w:hAnsi="Times New Roman"/>
          <w:sz w:val="20"/>
        </w:rPr>
      </w:pPr>
      <w:r>
        <w:rPr>
          <w:rFonts w:ascii="Times New Roman" w:hAnsi="Times New Roman"/>
          <w:sz w:val="20"/>
        </w:rPr>
        <w:t xml:space="preserve">We expect additional state and federal healthcare reform measures to be adopted in the future, particularly in light of the new Trump administration which has stated its intent to make some changes to the regulatory landscape overseen by, for example, the HHS, including the FDA, any of which could, among others, change product approval pathways, or limit the amounts that federal and state governments will pay for healthcare products and services, which could result in reduced demand for our products or additional pricing pressures.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Cost Containment Measures </w:t>
      </w:r>
    </w:p>
    <w:p>
      <w:pPr>
        <w:pStyle w:val="TextBody"/>
        <w:bidi w:val="0"/>
        <w:spacing w:before="240" w:after="0"/>
        <w:jc w:val="left"/>
        <w:rPr>
          <w:rFonts w:ascii="Times New Roman" w:hAnsi="Times New Roman"/>
          <w:sz w:val="20"/>
        </w:rPr>
      </w:pPr>
      <w:r>
        <w:rPr>
          <w:rFonts w:ascii="Times New Roman" w:hAnsi="Times New Roman"/>
          <w:sz w:val="20"/>
        </w:rPr>
        <w:t xml:space="preserve">Our products are directly distributed by our sales personnel to our healthcare provider customers. We may be directly reimbursed by third-party payors, including Medicare, Medicaid, private payors and other healthcare-related organizations, for the lease of our devices. There have been and continue to be proposals by the federal government, state governments, regulators and third-party payors to control or manage the increased costs of healthcare and, more generally, to reform the U.S. healthcare system. Adoption of price controls and cost-containment measures, and adoption of more restrictive policies in jurisdictions with existing controls and measures, could further limit a companys revenue generated from the sale of any approved products. </w:t>
      </w:r>
    </w:p>
    <w:p>
      <w:pPr>
        <w:pStyle w:val="TextBody"/>
        <w:bidi w:val="0"/>
        <w:spacing w:before="240" w:after="0"/>
        <w:jc w:val="left"/>
        <w:rPr>
          <w:rFonts w:ascii="Times New Roman" w:hAnsi="Times New Roman"/>
          <w:sz w:val="20"/>
        </w:rPr>
      </w:pPr>
      <w:r>
        <w:rPr>
          <w:rFonts w:ascii="Times New Roman" w:hAnsi="Times New Roman"/>
          <w:sz w:val="20"/>
        </w:rPr>
        <w:t xml:space="preserve">On August 2, 2011, the Budget Control Act of 2011 was signed into law, which, among other things, includes reductions to Medicare payments to providers of 2% per fiscal year, which went into effect on April 1, 2013 and, due to subsequent legislative amendments to the statute, including the BBA, will remain in effect through 2030 unless additional Congressional action is taken. However, pursuant to the Coronavirus Aid, Relief and Economic Security Act, or CARES Act, and subsequent legislation, these Medicare sequester reductions are suspended from May 1, 2020 through March 31, 2021 due to the COVID-19 pandemic. On April 14, 2021, the Act to Prevent Across-the-Board Direct Spending Cuts, and for Other Purposes, extended the sequestration suspension from April 1, 2021 to December 31, 2021.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recently, under the former Trump administration, there has been heightened governmental scrutiny over the manner in which manufacturers set prices for their marketed products, which has resulted in several U.S. Congressional inquiries and proposed, and enacted federal and state legislation designed to bring transparency to product pricing and reduce the cost of products and services under government healthcare programs. At this time, it is unclear whether the current administration will continue to pursue legislative and/or administrative measures to control product costs.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regional healthcare authorities and individual hospitals are increasingly using bidding procedures to determine what products to purchase and which suppliers will be included in their healthcare programs. CMS also continues to implement a competitive bidding program (CBP) enacted under the Medicare Prescription Drug, Improvement and Modernization Act of 2003 that applies to certain suppliers of durable medical equipment, prosthetics, orthotics and supplies. Under the CBP, suppliers that operate in a designated bidding area are required to submit electronic bids for certain products; CMS awards contracts to suppliers that offer the best price and meet applicable quality and financial standards. At this time, it is unclear whether the CBP will have an impact on the pricing or the commercialization of our current or future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Team Members and Human Capital Resources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31, 2025 we had over 300 team members, all of which were located in the United States. None of our team members is subject to a collective bargaining agreement or represented by a trade or labor union, and we have not experienced any material work stoppages to date. We consider our relationship with our team members to be good, and we are committed to inclusion and policies and procedures to maintain a safe work environment. </w:t>
      </w:r>
    </w:p>
    <w:p>
      <w:pPr>
        <w:pStyle w:val="TextBody"/>
        <w:bidi w:val="0"/>
        <w:spacing w:before="240" w:after="0"/>
        <w:jc w:val="left"/>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team members. We believe our success depends on our ability to attract, retain, develop and motivate diverse highly skilled personnel. In particular, we depend upon the personal efforts and abilities of the principal members of our senior management to partner effectively as a team, and who provide strategic direction, develop our business, manage our operations and maintain a cohesive and stable work environment. We also rely on qualified sales managers and other skilled employees, who possess technical expertise in operations, scientific knowledge, engineering and quality management experience, in order to operate our business successfully.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program is designed to retain, motivate and, as needed, attract highly qualified executives. Accordingly, we use a mix of competitive base salary, cash-based annual incentive compensation, performance-based equity compensation awards and other employee benefits. </w:t>
      </w:r>
    </w:p>
    <w:p>
      <w:pPr>
        <w:pStyle w:val="TextBody"/>
        <w:bidi w:val="0"/>
        <w:spacing w:before="240" w:after="0"/>
        <w:jc w:val="left"/>
        <w:rPr>
          <w:rFonts w:ascii="Times New Roman" w:hAnsi="Times New Roman"/>
          <w:b/>
          <w:sz w:val="20"/>
        </w:rPr>
      </w:pPr>
      <w:r>
        <w:rPr>
          <w:rFonts w:ascii="Times New Roman" w:hAnsi="Times New Roman"/>
          <w:b/>
          <w:sz w:val="20"/>
        </w:rPr>
        <w:t xml:space="preserve">Facilities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office is located at 3933 Lake Washington Blvd Northeast, Suite 200, Kirkland, Washington 98033, where we lease approximately 16,700 square feet of office space. We lease this space under a lease that terminates on April 30, 2029. We intend to add new facilities as we expand, and we believe that suitable additional or substitute space will be available as needed to accommodate any such expansion of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744414_11"/>
      <w:bookmarkEnd w:id="13"/>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ages and positions of our executive officers and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4"/>
        <w:gridCol w:w="147"/>
        <w:gridCol w:w="60"/>
        <w:gridCol w:w="261"/>
        <w:gridCol w:w="60"/>
        <w:gridCol w:w="147"/>
        <w:gridCol w:w="6856"/>
      </w:tblGrid>
      <w:tr>
        <w:trPr/>
        <w:tc>
          <w:tcPr>
            <w:tcW w:w="267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before="0" w:after="283"/>
              <w:jc w:val="left"/>
              <w:rPr>
                <w:sz w:val="4"/>
                <w:szCs w:val="4"/>
              </w:rPr>
            </w:pPr>
            <w:r>
              <w:rPr>
                <w:sz w:val="4"/>
                <w:szCs w:val="4"/>
              </w:rPr>
            </w:r>
          </w:p>
        </w:tc>
      </w:tr>
      <w:tr>
        <w:trPr/>
        <w:tc>
          <w:tcPr>
            <w:tcW w:w="2674"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Name</w:t>
            </w:r>
          </w:p>
        </w:tc>
        <w:tc>
          <w:tcPr>
            <w:tcW w:w="147" w:type="dxa"/>
            <w:tcBorders/>
            <w:vAlign w:val="bottom"/>
          </w:tcPr>
          <w:p>
            <w:pPr>
              <w:pStyle w:val="TableContents"/>
              <w:bidi w:val="0"/>
              <w:spacing w:before="0" w:after="283"/>
              <w:jc w:val="left"/>
              <w:rPr/>
            </w:pPr>
            <w:r>
              <w:rPr/>
              <w:t>  </w:t>
            </w:r>
          </w:p>
        </w:tc>
        <w:tc>
          <w:tcPr>
            <w:tcW w:w="321"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Position</w:t>
            </w:r>
          </w:p>
        </w:tc>
      </w:tr>
      <w:tr>
        <w:trPr/>
        <w:tc>
          <w:tcPr>
            <w:tcW w:w="2674" w:type="dxa"/>
            <w:tcBorders/>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sz w:val="4"/>
                <w:szCs w:val="4"/>
              </w:rPr>
            </w:pPr>
            <w:r>
              <w:rPr>
                <w:sz w:val="4"/>
                <w:szCs w:val="4"/>
              </w:rPr>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Brian Webster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President, Chief Executive Officer, and Director</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Vaseem Mahboob</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Chief Financial Officer</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Traci S. Umberger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General Counsel, Chief Administrative Officer, and Director</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Al Ford</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Chief Commercial Officer</w:t>
            </w:r>
          </w:p>
        </w:tc>
      </w:tr>
      <w:tr>
        <w:trPr>
          <w:trHeight w:val="120" w:hRule="atLeast"/>
        </w:trPr>
        <w:tc>
          <w:tcPr>
            <w:tcW w:w="2674" w:type="dxa"/>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c>
          <w:tcPr>
            <w:tcW w:w="7003" w:type="dxa"/>
            <w:gridSpan w:val="2"/>
            <w:tcBorders/>
            <w:vAlign w:val="center"/>
          </w:tcPr>
          <w:p>
            <w:pPr>
              <w:pStyle w:val="TableContents"/>
              <w:bidi w:val="0"/>
              <w:spacing w:before="0" w:after="283"/>
              <w:jc w:val="left"/>
              <w:rPr>
                <w:sz w:val="4"/>
                <w:szCs w:val="4"/>
              </w:rPr>
            </w:pPr>
            <w:r>
              <w:rPr>
                <w:sz w:val="4"/>
                <w:szCs w:val="4"/>
              </w:rPr>
            </w:r>
          </w:p>
        </w:tc>
      </w:tr>
      <w:tr>
        <w:trPr/>
        <w:tc>
          <w:tcPr>
            <w:tcW w:w="2674" w:type="dxa"/>
            <w:tcBorders/>
          </w:tcPr>
          <w:p>
            <w:pPr>
              <w:pStyle w:val="TableContents"/>
              <w:bidi w:val="0"/>
              <w:spacing w:before="0" w:after="0"/>
              <w:jc w:val="left"/>
              <w:rPr>
                <w:rFonts w:ascii="Times New Roman" w:hAnsi="Times New Roman"/>
                <w:b/>
                <w:sz w:val="20"/>
              </w:rPr>
            </w:pPr>
            <w:r>
              <w:rPr>
                <w:rFonts w:ascii="Times New Roman" w:hAnsi="Times New Roman"/>
                <w:b/>
                <w:sz w:val="20"/>
              </w:rPr>
              <w:t>Additional Officers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sz w:val="4"/>
                <w:szCs w:val="4"/>
              </w:rPr>
            </w:pPr>
            <w:r>
              <w:rPr>
                <w:sz w:val="4"/>
                <w:szCs w:val="4"/>
              </w:rPr>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Phillip D. Foshee, Jr.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Senior Vice President of Research &amp; Development</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Jeffrey Laub</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Senior Vice President of Supply Chain Operations</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Debra Schotz</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Senior Vice President of Marketing</w:t>
            </w:r>
          </w:p>
        </w:tc>
      </w:tr>
      <w:tr>
        <w:trPr>
          <w:trHeight w:val="120" w:hRule="atLeast"/>
        </w:trPr>
        <w:tc>
          <w:tcPr>
            <w:tcW w:w="2674" w:type="dxa"/>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c>
          <w:tcPr>
            <w:tcW w:w="7003" w:type="dxa"/>
            <w:gridSpan w:val="2"/>
            <w:tcBorders/>
            <w:vAlign w:val="center"/>
          </w:tcPr>
          <w:p>
            <w:pPr>
              <w:pStyle w:val="TableContents"/>
              <w:bidi w:val="0"/>
              <w:spacing w:before="0" w:after="283"/>
              <w:jc w:val="left"/>
              <w:rPr>
                <w:sz w:val="4"/>
                <w:szCs w:val="4"/>
              </w:rPr>
            </w:pPr>
            <w:r>
              <w:rPr>
                <w:sz w:val="4"/>
                <w:szCs w:val="4"/>
              </w:rPr>
            </w:r>
          </w:p>
        </w:tc>
      </w:tr>
      <w:tr>
        <w:trPr/>
        <w:tc>
          <w:tcPr>
            <w:tcW w:w="2674" w:type="dxa"/>
            <w:tcBorders/>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sz w:val="4"/>
                <w:szCs w:val="4"/>
              </w:rPr>
            </w:pPr>
            <w:r>
              <w:rPr>
                <w:sz w:val="4"/>
                <w:szCs w:val="4"/>
              </w:rPr>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Jeffrey Schwartz</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Director, Chairman of the Board of Directors</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Toby AuWerter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Director</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Maxwell Bikoff</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Director</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Raymond W. Cohen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Director</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Gordon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Director</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Mary Kay Ladone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Director</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Kevin Reilly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56" w:type="dxa"/>
            <w:tcBorders/>
            <w:vAlign w:val="bottom"/>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b/>
          <w:i/>
          <w:sz w:val="20"/>
        </w:rPr>
        <w:t>Brian Webster</w:t>
      </w:r>
      <w:r>
        <w:rPr>
          <w:rFonts w:ascii="Times New Roman" w:hAnsi="Times New Roman"/>
          <w:sz w:val="20"/>
        </w:rPr>
        <w:t xml:space="preserve"> is our Founder, President and Chief Executive Officer and is a member of our Board of Directors. Mr. Webster has served in these roles at Kestra Medical Technologies, Ltd. since 2021 and at West Affum Intermediate Holdings, West Affum Holdings and Kestra Medical Technologies, Inc. since 2020, 2018 and 2016, respectively. Mr. Webster has over 32 years in the medical device industry, including 10 years as President and Chief Executive Officer of Physio-Control, Inc. Mr. Webster was a founder of our company and has been building the company since 2014, when the predecessor company, Physio-Control Development Corporation became fully independent from Physio Control Inc. Mr. Webster previously held executive positions including Vice President roles in operations, sales, and marketing at Physio-Control. Mr. Webster brings broad knowledge of emergency medicine, the cardiac field, and the external defibrillation industry. Mr. Webster received his Bachelor of Arts in Business from the University of Puget Sound and his M.B.A. from Seattle University. We believe Mr. Webster is qualified to serve on our Board of Directors based on his knowledge of our company through his role as our President and Chief Executive Officer. </w:t>
      </w:r>
    </w:p>
    <w:p>
      <w:pPr>
        <w:pStyle w:val="TextBody"/>
        <w:bidi w:val="0"/>
        <w:spacing w:before="240" w:after="0"/>
        <w:jc w:val="left"/>
        <w:rPr>
          <w:rFonts w:ascii="Times New Roman" w:hAnsi="Times New Roman"/>
          <w:sz w:val="20"/>
        </w:rPr>
      </w:pPr>
      <w:r>
        <w:rPr>
          <w:rFonts w:ascii="Times New Roman" w:hAnsi="Times New Roman"/>
          <w:b/>
          <w:i/>
          <w:sz w:val="20"/>
        </w:rPr>
        <w:t>Vaseem Mahboob</w:t>
      </w:r>
      <w:r>
        <w:rPr>
          <w:rFonts w:ascii="Times New Roman" w:hAnsi="Times New Roman"/>
          <w:sz w:val="20"/>
        </w:rPr>
        <w:t xml:space="preserve"> is our Chief Financial Officer. Mr. Mahboob has served in this role at Kestra Medical Technologies, Ltd. since 2021. Mr. Mahboob has over 23 years of finance leadership experience. Prior to joining our company, Mr. Mahboob served as the Executive Vice President, Chief Financial Officer and Chief Operations Officer of DIH Technology Ltd. from 2020 to 2021. From 2015 to 2020, Mr. Mahboob served as the Chief Financial Officer of ENDOLOGIX Inc. ENDOLOGIX Inc. filed for Chapter 11 bankruptcy protection with the United States Bankruptcy Court for the Northern District of Texas in July 2020. Mr. Mahboob was also a member of the board of directors and the audit committee chair for INSYS Therapeutics from 2018 to 2019. Prior to ENDOLOGIX Inc., Mr. Mahboob held various positions at GE Healthcare, including as the Chief Financial Officer of the Global Magnetic Resonance Business from 2006 to 2010, as Chief Financial Officer of the Global Ultrasound Business from 2010 to 2012, as Chief Financial Officer of the Eastern and African Growth Markets from 2013 to 2015 and as Chief Financial Officer of GE Healthcare IT from June 2015 to September 2015. Mr. Mahboob received his M.B.A. in Financial Markets and Institutions and Information Systems from the Jacobs School of Management at the State University of New York. </w:t>
      </w:r>
    </w:p>
    <w:p>
      <w:pPr>
        <w:pStyle w:val="TextBody"/>
        <w:bidi w:val="0"/>
        <w:spacing w:before="240" w:after="0"/>
        <w:jc w:val="left"/>
        <w:rPr>
          <w:rFonts w:ascii="Times New Roman" w:hAnsi="Times New Roman"/>
          <w:sz w:val="20"/>
        </w:rPr>
      </w:pPr>
      <w:r>
        <w:rPr>
          <w:rFonts w:ascii="Times New Roman" w:hAnsi="Times New Roman"/>
          <w:b/>
          <w:i/>
          <w:sz w:val="20"/>
        </w:rPr>
        <w:t>Traci S. Umberger</w:t>
      </w:r>
      <w:r>
        <w:rPr>
          <w:rFonts w:ascii="Times New Roman" w:hAnsi="Times New Roman"/>
          <w:sz w:val="20"/>
        </w:rPr>
        <w:t xml:space="preserve"> is our Co-Founder, General Counsel and Chief Administrative Officer and is a member of our Board of Directors. Ms. Umberger has served in these roles at Kestra Medical Technologies, Ltd. since 2021 and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Kestra Medical Technologies, Inc. since 2016. Ms. Umberger has responsibility for the companys Legal, Compliance, and Human Resources functions. Ms. Umberger has over 34 years of life sciences representation, including 10 years as General Counsel and Chief Administrative Officer at Physio-Control, Inc. Prior to going in-house, Ms. Umberger practiced in the areas of commercial and healthcare litigation, representing physicians and hospitals. Ms. Umberger received her Bachelor of Arts in Psychology/English from the University of British Columbia and her J.D. from the University of British Columbia. We believe Ms. Umberger is qualified to serve on our Board of Directors based on her extensive legal career to date and knowledge of our company through her role as our General Counsel and Chief Administrative Officer. </w:t>
      </w:r>
    </w:p>
    <w:p>
      <w:pPr>
        <w:pStyle w:val="TextBody"/>
        <w:bidi w:val="0"/>
        <w:spacing w:before="240" w:after="0"/>
        <w:jc w:val="left"/>
        <w:rPr>
          <w:rFonts w:ascii="Times New Roman" w:hAnsi="Times New Roman"/>
          <w:sz w:val="20"/>
        </w:rPr>
      </w:pPr>
      <w:r>
        <w:rPr>
          <w:rFonts w:ascii="Times New Roman" w:hAnsi="Times New Roman"/>
          <w:b/>
          <w:i/>
          <w:sz w:val="20"/>
        </w:rPr>
        <w:t>Al Ford</w:t>
      </w:r>
      <w:r>
        <w:rPr>
          <w:rFonts w:ascii="Times New Roman" w:hAnsi="Times New Roman"/>
          <w:sz w:val="20"/>
        </w:rPr>
        <w:t xml:space="preserve"> has been appointed as our Chief Commercial Officer and will begin serving in this role prior to the consummation of this offering. Mr. Ford has 20 years of experience driving global strategic sales, marketing, business development, product development, and commercial operations primarily within the medical device industry. Mr. Ford served as Chief Commercial Officer of Axonics, Inc. (Nasdaq: AXNX), a medical device company with implantable technologies to treat bladder and bowel disorders, from 2017 to 2025, Chief Commercial Officer, General Manager and Senior Vice President of Global Sales &amp; Marketing at Cardiac Science Corporation from 2015 to 2017. Mr. Ford received his B.S. in Marketing and his M.S. in International Business from Saint Josephs University.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Officers </w:t>
      </w:r>
    </w:p>
    <w:p>
      <w:pPr>
        <w:pStyle w:val="TextBody"/>
        <w:bidi w:val="0"/>
        <w:spacing w:before="240" w:after="0"/>
        <w:jc w:val="left"/>
        <w:rPr>
          <w:rFonts w:ascii="Times New Roman" w:hAnsi="Times New Roman"/>
          <w:sz w:val="20"/>
        </w:rPr>
      </w:pPr>
      <w:r>
        <w:rPr>
          <w:rFonts w:ascii="Times New Roman" w:hAnsi="Times New Roman"/>
          <w:b/>
          <w:i/>
          <w:sz w:val="20"/>
        </w:rPr>
        <w:t xml:space="preserve">Phillip D. Foshee, Jr. </w:t>
      </w:r>
      <w:r>
        <w:rPr>
          <w:rFonts w:ascii="Times New Roman" w:hAnsi="Times New Roman"/>
          <w:sz w:val="20"/>
        </w:rPr>
        <w:t xml:space="preserve">is our Senior Vice President of Research &amp; Development. Mr. Foshee has served in this role at Kestra Medical Technologies, Inc. since 2016. Mr. Foshee has over 40 years of research and development experience. Twenty-eight of those years were in leadership roles at medical device companies. Prior roles include serving as general manager from 1998 to 2010 of Boston Scientifics Redmond, Washington design center and leading product development of the Metrix implantable atrial defibrillator from 1991 to 1998 as the Vice President of Research &amp; Development at InControl. Mr. Foshee received his B.S. in Electrical Engineering and his M.S. in Mechanical Engineering from Auburn University, Alabama. </w:t>
      </w:r>
    </w:p>
    <w:p>
      <w:pPr>
        <w:pStyle w:val="TextBody"/>
        <w:bidi w:val="0"/>
        <w:spacing w:before="240" w:after="0"/>
        <w:jc w:val="left"/>
        <w:rPr>
          <w:rFonts w:ascii="Times New Roman" w:hAnsi="Times New Roman"/>
          <w:sz w:val="20"/>
        </w:rPr>
      </w:pPr>
      <w:r>
        <w:rPr>
          <w:rFonts w:ascii="Times New Roman" w:hAnsi="Times New Roman"/>
          <w:b/>
          <w:i/>
          <w:sz w:val="20"/>
        </w:rPr>
        <w:t xml:space="preserve">Jeffrey Laub </w:t>
      </w:r>
      <w:r>
        <w:rPr>
          <w:rFonts w:ascii="Times New Roman" w:hAnsi="Times New Roman"/>
          <w:sz w:val="20"/>
        </w:rPr>
        <w:t xml:space="preserve">is our Senior Vice President of Supply Chain Operations. Mr. Laub has served in this role at Kestra Medical Technologies, Ltd. since 2020. Mr. Laub has spent over 26 years as a commercial, operations, supply chain, quality, regulatory and services executive in the medical device industry. Prior to joining our company, Mr. Laub served as President and Chief Operating Officer of Ventec Life Systems, Inc. from 2019 to 2020, and was also a member of their board of directors. Prior to joining Ventec Life Systems, Inc., Mr. Laub served in multiple capacities at Physio-Control, Inc. from 2003 to 2019, including most recently as their Vice President and General Manager, Commercial Operations and ProCare, from 2018 to 2019. Mr. Laub is also a retired Naval Officer. Mr. Laub received his B.S. in Business Management from the University of Phoenix and his M.B.A. from Washington State University. </w:t>
      </w:r>
    </w:p>
    <w:p>
      <w:pPr>
        <w:pStyle w:val="TextBody"/>
        <w:bidi w:val="0"/>
        <w:spacing w:before="240" w:after="0"/>
        <w:jc w:val="left"/>
        <w:rPr>
          <w:rFonts w:ascii="Times New Roman" w:hAnsi="Times New Roman"/>
          <w:sz w:val="20"/>
        </w:rPr>
      </w:pPr>
      <w:r>
        <w:rPr>
          <w:rFonts w:ascii="Times New Roman" w:hAnsi="Times New Roman"/>
          <w:b/>
          <w:i/>
          <w:sz w:val="20"/>
        </w:rPr>
        <w:t xml:space="preserve">Debra Schotz </w:t>
      </w:r>
      <w:r>
        <w:rPr>
          <w:rFonts w:ascii="Times New Roman" w:hAnsi="Times New Roman"/>
          <w:sz w:val="20"/>
        </w:rPr>
        <w:t xml:space="preserve">is our Senior Vice President of Marketing. Ms. Schotz has served in this role at Kestra Medical Technologies, Ltd. since 2023. Since 2022, Ms. Schotz has been the vice chairman of the board of directors Swedish Hospital (part of Endeavor Health) and was a member of the board of directors of Swedish Hospital from 2017 to 2022. From 2022 to 2023, Ms. Schotz was the chief operating officer of Musculo, a post-seed startup. Prior to that, Ms. Schotz was a Vice President and General Manager at Baxter International Inc. from 2021 to 2022. From 2018 to 2021, Ms. Schotz held various roles at Hill-Rom Holdings, Inc (Hillrom), including as Vice President of global marketing and business development from 2020 to 2021 and as Vice President of global marketing for patient support systems from 2018 to 2020. Ms. Schotz has over 30 years in the medical device industry, primarily in high volume consumable and capital products, with roles in marketing, business development and general management. Ms. Schotz has extensive experience in new product development and commercialization. Ms. Schotz received her B.S. in Marketing from Indiana University Bloomington and her M.B.A. from DePaul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Non-Executive Directors </w:t>
      </w:r>
    </w:p>
    <w:p>
      <w:pPr>
        <w:pStyle w:val="TextBody"/>
        <w:bidi w:val="0"/>
        <w:spacing w:before="240" w:after="0"/>
        <w:jc w:val="left"/>
        <w:rPr>
          <w:rFonts w:ascii="Times New Roman" w:hAnsi="Times New Roman"/>
          <w:sz w:val="20"/>
        </w:rPr>
      </w:pPr>
      <w:r>
        <w:rPr>
          <w:rFonts w:ascii="Times New Roman" w:hAnsi="Times New Roman"/>
          <w:b/>
          <w:i/>
          <w:sz w:val="20"/>
        </w:rPr>
        <w:t xml:space="preserve">Jeffrey Schwartz </w:t>
      </w:r>
      <w:r>
        <w:rPr>
          <w:rFonts w:ascii="Times New Roman" w:hAnsi="Times New Roman"/>
          <w:sz w:val="20"/>
        </w:rPr>
        <w:t xml:space="preserve">is a member of our Board of Directors and has served in such role since 2023. He is also the Chairman of our Board of Directors. Mr. Schwartz joined Bain Capital in 2004 and is the Chief Operating Officer of Bain Capitals Global Private Equity business. Prior to his current role, Mr. Schwartz co-founded and was a partner of its Life Sciences team from 2016-2023. Prior to that, Mr. Schwartz was a member of Bain Capitals Private Equity team from 2004 to 2016, where he focused on healthcare investments. Mr. Schwartz previously served as an equity research analyst at Lehman Brothers, where he was focused on the aerospace and defense industries working in both New York and London. Mr. Schwartz has over 20 years of investing experience. Mr. Schwartz currently serves on the board of directors of Rapid Micro Biosystems, Inc. (Nasdaq: RPID). Mr. Schwartz previously served on the board of directors of BCLS Acquisition Corp. (a special purpose acquisition company) and SpringWorks Therapeutics, Inc. (Nasdaq: SWTX). Mr. Schwartz graduated from Yale University where he majored in economics and received his M.B.A. from The Wharton School at the University of Pennsylvania, where he was a Palmer Scholar. We believe Mr. Schwartz is qualified to serve on our Board of Directors based on his experience in advising and supporting the growth and development of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Toby AuWerter </w:t>
      </w:r>
      <w:r>
        <w:rPr>
          <w:rFonts w:ascii="Times New Roman" w:hAnsi="Times New Roman"/>
          <w:sz w:val="20"/>
        </w:rPr>
        <w:t xml:space="preserve">is a member of the Board of Directors of our subsidiary, Kestra Medical Technologies, Inc., and has served in such role since 2022. Mr. AuWerter has been a member of our Board of Directors since 2025. Mr. AuWerter has been an investment director of Endeavour Vision since 2020. Mr. AuWerter focuses on medical technology and digital health and has more than fifteen years of experience working with medical technology companies across corporate, commercial, and research and development strategy. Previously, Mr. AuWerter served as an engagement manager at McKinsey &amp; Company from 2017 to 2020 specializing in therapeutic areas including cardiovascular products. Mr. AuWerter currently serves on the board of directors of Nalu Medical, Inc and is a board observer at Healthjoy, LLC. Mr. AuWerter received his BSE in Biomedical Engineering from Duke University and his M.B.A. in Health Care Management from The Wharton School at the University of Pennsylvania. We believe Mr. AuWerter is qualified to serve on our Board of Directors based on his extensive experience working with medical technologies companies and experience as a director of a number of healthcare companies. </w:t>
      </w:r>
    </w:p>
    <w:p>
      <w:pPr>
        <w:pStyle w:val="TextBody"/>
        <w:bidi w:val="0"/>
        <w:spacing w:before="240" w:after="0"/>
        <w:jc w:val="left"/>
        <w:rPr>
          <w:rFonts w:ascii="Times New Roman" w:hAnsi="Times New Roman"/>
          <w:sz w:val="20"/>
        </w:rPr>
      </w:pPr>
      <w:r>
        <w:rPr>
          <w:rFonts w:ascii="Times New Roman" w:hAnsi="Times New Roman"/>
          <w:b/>
          <w:i/>
          <w:sz w:val="20"/>
        </w:rPr>
        <w:t xml:space="preserve">Maxwell Bikoff </w:t>
      </w:r>
      <w:r>
        <w:rPr>
          <w:rFonts w:ascii="Times New Roman" w:hAnsi="Times New Roman"/>
          <w:sz w:val="20"/>
        </w:rPr>
        <w:t xml:space="preserve">is a member of the Board of Directors of our subsidiary, Kestra Medical Technologies, Inc., and has served in such role since 2024. Mr. Bikoff has been a member of our Board of Directors since 2025. Mr. Bikoff is a managing director at Longitude Capital, which he joined in 2016. Mr. Bikoff currently serves on the board of Polares Medical and is a board observer at Bolt Medical and FIRE1. Mr. Bikoff previously served as a board observer at Amphora (which has since been acquired), Ceribell (Nasdaq: CBLL), Eargo (Nasdaq: EAR), Endogenex, LimFlow (which has since been acquired), Nalu Medical, and RxSight (Nasdaq: RXST), and was also actively involved in Longitude Capitals investments in Axonics Modulation Technologies (Nasdaq: AXNX) and PROCEPT BioRobotics (Nasdaq: PRCT). Mr. Bikoff held a series of strategy, finance, and operating roles at Cardinal Health from 2010 to 2016, including director of Marketing, North America for a portfolio of cardiovascular devices from 2014 to 2016. Mr. Bikoff began his career in Deloitte Consultings Life Sciences Strategy practice and holds a BSE in Biomedical Engineering from Duke University. We believe Mr. Bikoff is qualified to serve on our Board of Directors based on his background in biomedical engineering and prior experience as a director of a number of healthcare companies. </w:t>
      </w:r>
    </w:p>
    <w:p>
      <w:pPr>
        <w:pStyle w:val="TextBody"/>
        <w:bidi w:val="0"/>
        <w:spacing w:before="240" w:after="0"/>
        <w:jc w:val="left"/>
        <w:rPr>
          <w:rFonts w:ascii="Times New Roman" w:hAnsi="Times New Roman"/>
          <w:sz w:val="20"/>
        </w:rPr>
      </w:pPr>
      <w:r>
        <w:rPr>
          <w:rFonts w:ascii="Times New Roman" w:hAnsi="Times New Roman"/>
          <w:b/>
          <w:i/>
          <w:sz w:val="20"/>
        </w:rPr>
        <w:t xml:space="preserve">Raymond W. Cohen </w:t>
      </w:r>
      <w:r>
        <w:rPr>
          <w:rFonts w:ascii="Times New Roman" w:hAnsi="Times New Roman"/>
          <w:sz w:val="20"/>
        </w:rPr>
        <w:t xml:space="preserve">is a member of the Board of Directors of our subsidiary, Kestra Medical Technologies, Inc., and has served in such role since 2024. Mr. Cohen has been a member of our Board of Directors since 2025. Prior to joining the Company, from 2013 to 2024, Mr. Cohen served as the Chief Executive Officer and a member of the board of directors of Axonics, Inc. (Nasdaq: AXNX), a medical device company with implantable technologies to treat bladder and bowel disorders. Mr. Cohen currently serves as a venture advisor to Andera Partners and serves as the chairman of the board of directors of SoniVie Ltd. Previously, Mr. Cohen served as chairman of BioLife Solutions Inc. (Nasdaq: BLFS) and BiVACOR, Inc., and served on the board of directors of Spectrum Pharmaceuticals Inc. (Nasdaq: SPPI) and Axonics, Inc. (Nasdaq: AXNX).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Cohen received his B.S. in Business Management from Binghamton University. We believe Mr. Cohen is qualified to serve on our Board of Directors based on his management experience of a medical device company and prior experience as a director of a number of healthcare companies. </w:t>
      </w:r>
    </w:p>
    <w:p>
      <w:pPr>
        <w:pStyle w:val="TextBody"/>
        <w:bidi w:val="0"/>
        <w:spacing w:before="240" w:after="0"/>
        <w:jc w:val="left"/>
        <w:rPr>
          <w:rFonts w:ascii="Times New Roman" w:hAnsi="Times New Roman"/>
          <w:sz w:val="20"/>
        </w:rPr>
      </w:pPr>
      <w:r>
        <w:rPr>
          <w:rFonts w:ascii="Times New Roman" w:hAnsi="Times New Roman"/>
          <w:b/>
          <w:i/>
          <w:sz w:val="20"/>
        </w:rPr>
        <w:t xml:space="preserve">Christopher Gordon </w:t>
      </w:r>
      <w:r>
        <w:rPr>
          <w:rFonts w:ascii="Times New Roman" w:hAnsi="Times New Roman"/>
          <w:sz w:val="20"/>
        </w:rPr>
        <w:t xml:space="preserve">is a member of our Board of Directors and has served in such role since 2016. Mr. Gordon co-heads Bain Capital Private Equitys Global and North American private equity businesses and leads Bain Capital Private Equitys healthcare team. Mr. Gordon has been actively involved in and served on the boards of a wide spectrum of healthcare companies in which the firm has made investments in and currently serves on the board of directors of Aveanna Healthcare Holdings Inc. (Nasdaq: AVAH). Mr. Gordon previously served on the board of directors of Cerevel Therapeutics Holdings, Inc. (Nasdaq: CERE), Grupo NotreDame Intermédica, Surgery Partners, Inc. (Nasdaq: SGRY), IQVIA Holdings Inc. f/k/a Quintiles Transnational Holdings Inc. (NYSE: IQV), HCA Healthcare, Inc. (NYSE: HCA), and Acadia Healthcare Company, Inc. (Nasdaq: ACHC). Mr. Gordon is also a founding director of the Healthcare Private Equity Association. Mr. Gordon received his A.B. in Economics from Harvard College and his M.B.A. from Harvard Business School where he was a Baker Scholar. We believe Mr. Gordon is qualified to serve on our Board of Directors based on his expertise and prior experience as a director of a number of healthcare companies. </w:t>
      </w:r>
    </w:p>
    <w:p>
      <w:pPr>
        <w:pStyle w:val="TextBody"/>
        <w:bidi w:val="0"/>
        <w:spacing w:before="240" w:after="0"/>
        <w:jc w:val="left"/>
        <w:rPr>
          <w:rFonts w:ascii="Times New Roman" w:hAnsi="Times New Roman"/>
          <w:sz w:val="20"/>
        </w:rPr>
      </w:pPr>
      <w:r>
        <w:rPr>
          <w:rFonts w:ascii="Times New Roman" w:hAnsi="Times New Roman"/>
          <w:b/>
          <w:i/>
          <w:sz w:val="20"/>
        </w:rPr>
        <w:t xml:space="preserve">Mary Kay Ladone </w:t>
      </w:r>
      <w:r>
        <w:rPr>
          <w:rFonts w:ascii="Times New Roman" w:hAnsi="Times New Roman"/>
          <w:sz w:val="20"/>
        </w:rPr>
        <w:t xml:space="preserve">is a member of the Board of Directors of our subsidiary, Kestra Medical Technologies, Inc., and has served in such role since 2022. Ms. Ladone has been a member of our Board of Directors since 2025. Ms. Ladone previously served as senior vice president of corporate development, strategy and investor relations at Hill-Rom Holdings, Inc. from 2018 to 2022, and vice president of investor relations at Hillrom from 2016 to 2018. Prior to Hillrom, Ms. Ladone served as senior vice president and corporate officer, investor relations of Baxalta, Inc., a global biopharmaceutical company, from 2015 to 2016. Ms. Ladone began her career in finance at Baxter International, Inc., and served in several progressive financial, operational and communication roles at Baxter International, Inc. from 1988 to 2015. Ms. Ladone currently serves on the board of directors of Novanta Inc., Bioventus LLC and Inogen, Inc. Ms. Ladone is an accomplished executive with over 30 years of experience serving large global healthcare companies. Ms. Ladone received her B.B.A. degree in Finance and Business Economics, cum laude, from the University of Notre Dame. We believe Ms. Ladone is qualified to serve on our Board of Directors based on her extensive experience working with large global healthcare companies. </w:t>
      </w:r>
    </w:p>
    <w:p>
      <w:pPr>
        <w:pStyle w:val="TextBody"/>
        <w:bidi w:val="0"/>
        <w:spacing w:before="240" w:after="0"/>
        <w:jc w:val="left"/>
        <w:rPr>
          <w:rFonts w:ascii="Times New Roman" w:hAnsi="Times New Roman"/>
          <w:sz w:val="20"/>
        </w:rPr>
      </w:pPr>
      <w:r>
        <w:rPr>
          <w:rFonts w:ascii="Times New Roman" w:hAnsi="Times New Roman"/>
          <w:b/>
          <w:i/>
          <w:sz w:val="20"/>
        </w:rPr>
        <w:t xml:space="preserve">Kevin Reilly </w:t>
      </w:r>
      <w:r>
        <w:rPr>
          <w:rFonts w:ascii="Times New Roman" w:hAnsi="Times New Roman"/>
          <w:sz w:val="20"/>
        </w:rPr>
        <w:t xml:space="preserve">is a member of the Board of Directors of our subsidiary, Kestra Medical Technologies, Inc., and has served in such role since 2024. Mr. Reilly has been a member of our Board of Directors since 2025. Mr. Reilly joined Ally Bridge Group in 2021 and since 2021, has been a managing director and head of medtech for the private equity strategy focused on transactions across healthcare subsectors. Before joining Ally Bridge Group, from 2014 to 2021, Mr. Reilly was a principal at CRG, a healthcare investment management firm providing growth capital to companies through the form of long-term debt and equity. Mr. Reilly began his career in the Healthcare Investment Banking Group at Stifel. Mr. Reilly holds a B.S. in Finance and Information Systems from the University of Maryland. We believe Mr. Reilly is qualified to serve on our Board of Directors based on his experience investing in healthcare companies and prior experience as a director of a number of healthcare companies. </w:t>
      </w:r>
    </w:p>
    <w:p>
      <w:pPr>
        <w:pStyle w:val="TextBody"/>
        <w:bidi w:val="0"/>
        <w:spacing w:before="240" w:after="0"/>
        <w:jc w:val="left"/>
        <w:rPr>
          <w:rFonts w:ascii="Times New Roman" w:hAnsi="Times New Roman"/>
          <w:b/>
          <w:sz w:val="20"/>
        </w:rPr>
      </w:pPr>
      <w:r>
        <w:rPr>
          <w:rFonts w:ascii="Times New Roman" w:hAnsi="Times New Roman"/>
          <w:b/>
          <w:sz w:val="20"/>
        </w:rPr>
        <w:t xml:space="preserve">Board Composition and 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Our business and affairs are managed under the direction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this offering, our Board of Directors will be composed of nine directors. In accordance with our amended and restated bye-laws to be in effect upon the closing of this offering, prior to the Triggering Annual Meeting, our directors will be divided into three classes serving staggered three-year terms. Prior to the Triggering Annual Meeting, at each annual meeting of shareholders, our directors will be elected to succeed the class of directors whose terms have expired. From and after the Triggering Annual Meeting, our Board of Directors will be declassified and our directors will be elected to hold office for a one-year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expiring at the next annual general meeting of shareholders. Our current board of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will consist of Christopher Gordon, Toby AuWerter and Maxwell Bikoff, and their terms will expire at the first annual general meeting of shareholders occurring after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will consist of Raymond W. Cohen, Kevin Reilly and Traci S. Umberger, and their terms will expire at the second annual general meeting of shareholders occurring after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will consist of Mary Kay Ladone, Brian Webster and Jeffrey Schwartz, and their terms will expire at the third annual general meeting of shareholders occurring after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Directors in a particular class will be elected for three-year terms at the annual general meeting of shareholders in the year in which their terms expire. As a result, prior to the Triggering Annual Meeting, only one class of directors will be elected at each annual general meeting of our shareholders, with the other classes continuing for the remainder of their respective three-year terms. Each directors term continues until the election and qualification of his or her successor, or his or her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of Directors prior to the Triggering Annual Meeting, together with the ability of the shareholders to remove our directors only for cause from and after the Trigger Event and the limitations on our shareholders ability to call special general meetings, may have the effect of delaying or preventing a change of control or management. See the section titled Description of Share CapitalAnti-Takeover Provisions for a discussion of other anti-takeover provisions that are included in our memorandum of association and amended and restated bye-laws to be in effect upon the closing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our Board of Directors has undertaken a review of the independence of each director. As a result of this review, our Board of Directors determined that Jeffrey Schwartz, Christopher Gordon, Mary Kay Ladone, Raymond W. Cohen, Maxwell Bikoff, Kevin Reilly and Toby AuWerter are independent directors as defined under the applicable rules and regulations of the SEC and the listing requirements and rules of the Nasdaq Global Select Market, representing seven of our nine directors. In making these determinations, our Board of Directors reviewed and discussed information provided by the directors and us with regard to each directors business and personal activities and current and prior relationships, including personal relationships, as they may relate to us and our 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our Board of Directors and our executive officers. </w:t>
      </w:r>
    </w:p>
    <w:p>
      <w:pPr>
        <w:pStyle w:val="TextBody"/>
        <w:bidi w:val="0"/>
        <w:spacing w:before="240" w:after="0"/>
        <w:jc w:val="left"/>
        <w:rPr>
          <w:rFonts w:ascii="Times New Roman" w:hAnsi="Times New Roman"/>
          <w:b/>
          <w:sz w:val="20"/>
        </w:rPr>
      </w:pPr>
      <w:r>
        <w:rPr>
          <w:rFonts w:ascii="Times New Roman" w:hAnsi="Times New Roman"/>
          <w:b/>
          <w:sz w:val="20"/>
        </w:rPr>
        <w:t xml:space="preserve">Controlled Company Exception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this offering, an investment fund advised by affiliates of Bain Capital will own approximately 50.4% of our common shares (or 48.6% of our outstanding common shares if the underwriters exercise in full their over-allotment option). As a result, we will be a controlled company within the meaning of the applicable listing rules of the Nasdaq Global Select Market. Under these corporate governance standards, a company of which more than 50% of the voting power is beneficially owned by an individual, group or 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charter addressing the committees purpose and responsibilities and (3) that its board of directors have a nominating and corporate governance committee that is composed entirely of independent directors with a written charter addressing the committees purpose and responsibilities. Accordingly, you will not have the same protections afforded to shareholders of companies that are subject to all of these corporate governance requirements. In the event that we cease to be a controlled company and our common shares continues to be listed on the Nasdaq Global Select Market, we will be required to comply with these provisions within the applicable transition periods. </w:t>
      </w:r>
    </w:p>
    <w:p>
      <w:pPr>
        <w:pStyle w:val="TextBody"/>
        <w:bidi w:val="0"/>
        <w:spacing w:before="240" w:after="0"/>
        <w:jc w:val="left"/>
        <w:rPr>
          <w:rFonts w:ascii="Times New Roman" w:hAnsi="Times New Roman"/>
          <w:sz w:val="20"/>
        </w:rPr>
      </w:pPr>
      <w:r>
        <w:rPr>
          <w:rFonts w:ascii="Times New Roman" w:hAnsi="Times New Roman"/>
          <w:sz w:val="20"/>
        </w:rPr>
        <w:t xml:space="preserve">These exemptions do not modify the independence requirements for our audit committee, and we expect to satisfy the member independence requirement for the audit committee prior to the end of the transition period provided under the Nasdaq Global Select Markets listing standards and SEC rules and regulations for companies completing their initial public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prior to the completion of this offering, our Board of Directors will establish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Each of the committees operates under its own written charter adopted by the Board of Directors, each of which will be available on our website upon the completion of this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establish, effective upon the consummation of this offering, an audit committee which is responsible for, among other matters: (1) appointing, compensating, retaining, evaluating, terminating and overseeing our independent registered public accounting firm; (2) discussing with our independent registered public accounting firm its independence from us; (3) reviewing with our independent registered public accounting firm the matters required to be reviewed by applicable auditing requirements; (4) approving all audit and permissible non-audit services to be performed by our independent registered public accounting firm; (5) overseeing the financial reporting process and discussing with management and our independent registered public accounting firm the interim and annual financial statements that we file with the SEC; (6) reviewing and monitoring our internal controls, disclosure controls and procedures and compliance with legal and regulatory requirements; (7) establishing procedures for the confidential anonymous submission of concerns regarding questionable accounting, internal controls, auditing and federal securities law matters; and (8) reviewing and approving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will consist of Mary Kay Ladone, Raymond W. Cohen and Maxwell Bikoff, with Mary Kay Ladone serving as chairperson. Rule 10A-3 of the Exchange Act and the Nasdaq Global Select Market rules require us to have one independent audit committee member upon the listing of our common shares on the Nasdaq Global Select Market, a majority of independent directors within 90 days of the date of listing and all independent audit committee members within one year of the date of listing. We intend to comply with the independence requirements within the time periods specified. Our Board of Directors has determined that Mary Kay Ladone is an audit committee financial expert as defined by applicable SEC rules.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establish, effective upon the consummation of this offering, a compensation committee which is responsible for, among other matters: (1) reviewing officer and executive compensation goals, policies, plans and programs; (2) reviewing and approving or recommending to our Board of Directors or the independent directors, as applicable, the compensation of our directors, Chief Executive Officer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officers; (3) reviewing and approving employment agreements and other similar arrangements between us and our officers and other key executives; and (4) appointing and overseeing any compensation consultants.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will consist of Raymond W. Cohen, Jeffrey Schwartz and Kevin Reilly, with Raymond W. Cohen serving as chairperson. Our Board of Directors has determined that each member of the compensation committee is independent under the Nasdaq Global Select Market listing standards and a non-employee director as defined in Rule 16b-3 promulgated under the Exchange Act. </w:t>
      </w:r>
    </w:p>
    <w:p>
      <w:pPr>
        <w:pStyle w:val="TextBody"/>
        <w:bidi w:val="0"/>
        <w:spacing w:before="240" w:after="0"/>
        <w:jc w:val="left"/>
        <w:rPr>
          <w:rFonts w:ascii="Times New Roman" w:hAnsi="Times New Roman"/>
          <w:b/>
          <w:sz w:val="20"/>
        </w:rPr>
      </w:pPr>
      <w:r>
        <w:rPr>
          <w:rFonts w:ascii="Times New Roman" w:hAnsi="Times New Roman"/>
          <w:b/>
          <w:sz w:val="20"/>
        </w:rPr>
        <w:t xml:space="preserve">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establish, effective upon the consummation of this offering, a nominating and corporate governance committee that is responsible for, among other matters: (1) identifying individuals qualified to become members of our Board of Directors, consistent with criteria approved by our Board of Directors; (2) overseeing the organization of our Board of Directors to discharge the boards duties and responsibilities properly and efficiently; and (3) developing and recommending to our Board of Directors a set of corporate governance guidelines and principles.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will consist of Jeffrey Schwartz, Mary Kay Ladone and Toby AuWerter, with Jeffrey Schwartz serving as chairperson. Our Board of Directors has determined that each member of the nominating and corporate governance committee is independent under the Nasdaq Global Select Market listing standards. </w:t>
      </w:r>
    </w:p>
    <w:p>
      <w:pPr>
        <w:pStyle w:val="TextBody"/>
        <w:bidi w:val="0"/>
        <w:spacing w:before="240" w:after="0"/>
        <w:jc w:val="left"/>
        <w:rPr>
          <w:rFonts w:ascii="Times New Roman" w:hAnsi="Times New Roman"/>
          <w:b/>
          <w:sz w:val="20"/>
        </w:rPr>
      </w:pPr>
      <w:r>
        <w:rPr>
          <w:rFonts w:ascii="Times New Roman" w:hAnsi="Times New Roman"/>
          <w:b/>
          <w:sz w:val="20"/>
        </w:rPr>
        <w:t xml:space="preserve">Board Oversight of Risk Management </w:t>
      </w:r>
    </w:p>
    <w:p>
      <w:pPr>
        <w:pStyle w:val="TextBody"/>
        <w:bidi w:val="0"/>
        <w:spacing w:before="240" w:after="0"/>
        <w:jc w:val="left"/>
        <w:rPr>
          <w:rFonts w:ascii="Times New Roman" w:hAnsi="Times New Roman"/>
          <w:sz w:val="20"/>
        </w:rPr>
      </w:pPr>
      <w:r>
        <w:rPr>
          <w:rFonts w:ascii="Times New Roman" w:hAnsi="Times New Roman"/>
          <w:sz w:val="20"/>
        </w:rPr>
        <w:t xml:space="preserve">Management is responsible for the day-to-day management of risks our company faces. Our full Board of Directors has ultimate oversight responsibility for the risk management process, and, through its committees, oversees risk in certain specified areas. In particular, our audit committee oversees management of enterprise risks as well as financial risks and is responsible for overseeing the review and approval of related party transactions. Our compensation committee is responsible for overseeing the management of risks relating to our executive compensation plans and arrangements and the incentives created by the compensation awards it administers. Our nominating and corporate governance committee oversees risks associated with corporate governance, business conduct and ethics. Pursuant to our Board of Directors instruction, management regularly reports on applicable risks to the relevant committee or our full Board of Directors, as appropriate, with additional review or reporting on risks conducted as needed or as requested by our Board of Directors and its committees. </w:t>
      </w:r>
    </w:p>
    <w:p>
      <w:pPr>
        <w:pStyle w:val="TextBody"/>
        <w:bidi w:val="0"/>
        <w:spacing w:before="240" w:after="0"/>
        <w:jc w:val="left"/>
        <w:rPr>
          <w:rFonts w:ascii="Times New Roman" w:hAnsi="Times New Roman"/>
          <w:b/>
          <w:sz w:val="20"/>
        </w:rPr>
      </w:pPr>
      <w:r>
        <w:rPr>
          <w:rFonts w:ascii="Times New Roman" w:hAnsi="Times New Roman"/>
          <w:b/>
          <w:sz w:val="20"/>
        </w:rPr>
        <w:t xml:space="preserve">Code of Ethics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adopted a code of ethics that will apply to all of our employees, officers and directors, including our executive and senior financial officers. The full text of our code of ethics will be posted on the investor relations page of our website prior to completion of this offering. The information contained on, or accessible through, our website is not incorporated by reference into this prospectus. We intend to disclose any amendments to our code of ethics, or waivers of its requirements, on our website or in filings under the Exchange Act.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None of our executive officers has served as a member of a compensation committee (or if no committee performs that function, the board of directors) of any other entity that has an executive officer serving as a member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744414_12"/>
      <w:bookmarkEnd w:id="14"/>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considered an emerging growth company, as defined in Section 2(a)(19) of the Securities Act, for purposes of the SECs executive compensation disclosure rules. In accordance with such rules, we are required to provide a Summary Compensation Table and an Outstanding Equity Awards at Fiscal Year End Table, as well as limited narrative disclosures.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provides information about the material elements of compensation that are paid, awarded to, or earned by, our named executive officers for fiscal year 2024 (whom we collectively refer to as our NEOs), who consist of any individual who served as our principal executive officer during fiscal year 2024, and our two most highly compensated executive officers who were serving at the end of fiscal year 2024 other than our principal executive officer. For fiscal year 2024, our NEOs and their respective positions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Brian Webster, our Principal Executive Officer and President, Chief Executive Officer and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Vaseem Mahboob, our Principal Financial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Traci S. Umberger, our General Counsel, Chief Administrative Officer and Director.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objective of our executive compensation program is to provide a total compensation package to each of our NEOs that will enable us to attract, motivate and retain outstanding individuals, align the interests of our NEOs with those of our shareholders, encourage individual and collective contributions to the successful execution of our short- and long-term business strategies and reward our NEOs for the attainment of specified performance goals. </w:t>
      </w:r>
    </w:p>
    <w:p>
      <w:pPr>
        <w:pStyle w:val="TextBody"/>
        <w:bidi w:val="0"/>
        <w:spacing w:before="240" w:after="0"/>
        <w:jc w:val="left"/>
        <w:rPr>
          <w:rFonts w:ascii="Times New Roman" w:hAnsi="Times New Roman"/>
          <w:b/>
          <w:sz w:val="20"/>
        </w:rPr>
      </w:pPr>
      <w:r>
        <w:rPr>
          <w:rFonts w:ascii="Times New Roman" w:hAnsi="Times New Roman"/>
          <w:b/>
          <w:sz w:val="20"/>
        </w:rPr>
        <w:t xml:space="preserve">Fiscal Year 2024 Summary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compensation earned during the fiscal year ended April 30, 2024 by our named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31"/>
        <w:gridCol w:w="309"/>
        <w:gridCol w:w="60"/>
        <w:gridCol w:w="500"/>
        <w:gridCol w:w="60"/>
        <w:gridCol w:w="309"/>
        <w:gridCol w:w="60"/>
        <w:gridCol w:w="812"/>
        <w:gridCol w:w="60"/>
        <w:gridCol w:w="309"/>
        <w:gridCol w:w="73"/>
        <w:gridCol w:w="989"/>
        <w:gridCol w:w="60"/>
        <w:gridCol w:w="309"/>
        <w:gridCol w:w="84"/>
        <w:gridCol w:w="982"/>
        <w:gridCol w:w="60"/>
        <w:gridCol w:w="309"/>
        <w:gridCol w:w="73"/>
        <w:gridCol w:w="989"/>
        <w:gridCol w:w="67"/>
      </w:tblGrid>
      <w:tr>
        <w:trPr/>
        <w:tc>
          <w:tcPr>
            <w:tcW w:w="3731"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31"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Officer</w:t>
            </w:r>
          </w:p>
        </w:tc>
        <w:tc>
          <w:tcPr>
            <w:tcW w:w="309"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FY</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Salary</w:t>
              <w:br/>
              <w:t>($) (1)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6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Non-Equity</w:t>
              <w:br/>
              <w:t>Incentive Plan</w:t>
              <w:br/>
              <w:t>Compensation</w:t>
              <w:br/>
              <w:t>($) (2)</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All Other</w:t>
              <w:br/>
              <w:t>Compensation</w:t>
              <w:br/>
              <w:t>($) (3)</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6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Total</w:t>
              <w:br/>
              <w:t>Compensation</w:t>
              <w:br/>
              <w:t>($)</w:t>
            </w:r>
          </w:p>
        </w:tc>
        <w:tc>
          <w:tcPr>
            <w:tcW w:w="67" w:type="dxa"/>
            <w:tcBorders/>
            <w:vAlign w:val="bottom"/>
          </w:tcPr>
          <w:p>
            <w:pPr>
              <w:pStyle w:val="TableContents"/>
              <w:bidi w:val="0"/>
              <w:spacing w:before="0" w:after="283"/>
              <w:jc w:val="left"/>
              <w:rPr/>
            </w:pPr>
            <w:r>
              <w:rPr/>
              <w:t> </w:t>
            </w:r>
          </w:p>
        </w:tc>
      </w:tr>
      <w:tr>
        <w:trPr/>
        <w:tc>
          <w:tcPr>
            <w:tcW w:w="37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Brian Webster</w:t>
            </w:r>
          </w:p>
          <w:p>
            <w:pPr>
              <w:pStyle w:val="TableContents"/>
              <w:bidi w:val="0"/>
              <w:spacing w:before="0" w:after="20"/>
              <w:jc w:val="left"/>
              <w:rPr>
                <w:rFonts w:ascii="Times New Roman" w:hAnsi="Times New Roman"/>
                <w:i/>
                <w:sz w:val="20"/>
              </w:rPr>
            </w:pPr>
            <w:r>
              <w:rPr>
                <w:rFonts w:ascii="Times New Roman" w:hAnsi="Times New Roman"/>
                <w:i/>
                <w:sz w:val="20"/>
              </w:rPr>
              <w:t>President, Chief Executive Officer &amp; Director</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b/>
              </w:rPr>
            </w:pPr>
            <w:r>
              <w:rPr>
                <w:b/>
              </w:rPr>
              <w:t>2024</w:t>
            </w:r>
          </w:p>
        </w:tc>
        <w:tc>
          <w:tcPr>
            <w:tcW w:w="60" w:type="dxa"/>
            <w:tcBorders/>
            <w:shd w:fill="CCEEFF" w:val="clear"/>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2" w:type="dxa"/>
            <w:tcBorders/>
            <w:shd w:fill="CCEEFF" w:val="clear"/>
          </w:tcPr>
          <w:p>
            <w:pPr>
              <w:pStyle w:val="TableContents"/>
              <w:bidi w:val="0"/>
              <w:spacing w:before="0" w:after="283"/>
              <w:jc w:val="right"/>
              <w:rPr/>
            </w:pPr>
            <w:r>
              <w:rPr/>
              <w:t>522,535</w:t>
            </w:r>
          </w:p>
        </w:tc>
        <w:tc>
          <w:tcPr>
            <w:tcW w:w="60" w:type="dxa"/>
            <w:tcBorders/>
            <w:shd w:fill="CCEEFF" w:val="clear"/>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3" w:type="dxa"/>
            <w:tcBorders/>
            <w:shd w:fill="CCEEFF" w:val="clear"/>
          </w:tcPr>
          <w:p>
            <w:pPr>
              <w:pStyle w:val="TableContents"/>
              <w:bidi w:val="0"/>
              <w:spacing w:before="0" w:after="283"/>
              <w:jc w:val="left"/>
              <w:rPr/>
            </w:pPr>
            <w:r>
              <w:rPr/>
              <w:t> </w:t>
            </w:r>
          </w:p>
        </w:tc>
        <w:tc>
          <w:tcPr>
            <w:tcW w:w="989" w:type="dxa"/>
            <w:tcBorders/>
            <w:shd w:fill="CCEEFF" w:val="clear"/>
          </w:tcPr>
          <w:p>
            <w:pPr>
              <w:pStyle w:val="TableContents"/>
              <w:bidi w:val="0"/>
              <w:spacing w:before="0" w:after="283"/>
              <w:jc w:val="right"/>
              <w:rPr/>
            </w:pPr>
            <w:r>
              <w:rPr/>
              <w:t>195,951</w:t>
            </w:r>
          </w:p>
        </w:tc>
        <w:tc>
          <w:tcPr>
            <w:tcW w:w="60" w:type="dxa"/>
            <w:tcBorders/>
            <w:shd w:fill="CCEEFF" w:val="clear"/>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84" w:type="dxa"/>
            <w:tcBorders/>
            <w:shd w:fill="CCEEFF" w:val="clear"/>
          </w:tcPr>
          <w:p>
            <w:pPr>
              <w:pStyle w:val="TableContents"/>
              <w:bidi w:val="0"/>
              <w:spacing w:before="0" w:after="283"/>
              <w:jc w:val="left"/>
              <w:rPr/>
            </w:pPr>
            <w:r>
              <w:rPr/>
              <w:t> </w:t>
            </w:r>
          </w:p>
        </w:tc>
        <w:tc>
          <w:tcPr>
            <w:tcW w:w="982" w:type="dxa"/>
            <w:tcBorders/>
            <w:shd w:fill="CCEEFF" w:val="clear"/>
          </w:tcPr>
          <w:p>
            <w:pPr>
              <w:pStyle w:val="TableContents"/>
              <w:bidi w:val="0"/>
              <w:spacing w:before="0" w:after="283"/>
              <w:jc w:val="right"/>
              <w:rPr/>
            </w:pPr>
            <w:r>
              <w:rPr/>
              <w:t>39,078</w:t>
            </w:r>
          </w:p>
        </w:tc>
        <w:tc>
          <w:tcPr>
            <w:tcW w:w="60" w:type="dxa"/>
            <w:tcBorders/>
            <w:shd w:fill="CCEEFF" w:val="clear"/>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3" w:type="dxa"/>
            <w:tcBorders/>
            <w:shd w:fill="CCEEFF" w:val="clear"/>
          </w:tcPr>
          <w:p>
            <w:pPr>
              <w:pStyle w:val="TableContents"/>
              <w:bidi w:val="0"/>
              <w:spacing w:before="0" w:after="283"/>
              <w:jc w:val="left"/>
              <w:rPr/>
            </w:pPr>
            <w:r>
              <w:rPr/>
              <w:t> </w:t>
            </w:r>
          </w:p>
        </w:tc>
        <w:tc>
          <w:tcPr>
            <w:tcW w:w="989" w:type="dxa"/>
            <w:tcBorders/>
            <w:shd w:fill="CCEEFF" w:val="clear"/>
          </w:tcPr>
          <w:p>
            <w:pPr>
              <w:pStyle w:val="TableContents"/>
              <w:bidi w:val="0"/>
              <w:spacing w:before="0" w:after="283"/>
              <w:jc w:val="right"/>
              <w:rPr/>
            </w:pPr>
            <w:r>
              <w:rPr/>
              <w:t>757,564</w:t>
            </w:r>
          </w:p>
        </w:tc>
        <w:tc>
          <w:tcPr>
            <w:tcW w:w="67" w:type="dxa"/>
            <w:tcBorders/>
            <w:shd w:fill="CCEEFF" w:val="clear"/>
          </w:tcPr>
          <w:p>
            <w:pPr>
              <w:pStyle w:val="TableContents"/>
              <w:bidi w:val="0"/>
              <w:spacing w:before="0" w:after="283"/>
              <w:jc w:val="left"/>
              <w:rPr/>
            </w:pPr>
            <w:r>
              <w:rPr/>
              <w:t> </w:t>
            </w:r>
          </w:p>
        </w:tc>
      </w:tr>
      <w:tr>
        <w:trPr>
          <w:trHeight w:val="120" w:hRule="atLeast"/>
        </w:trPr>
        <w:tc>
          <w:tcPr>
            <w:tcW w:w="3731" w:type="dxa"/>
            <w:tcBorders/>
            <w:vAlign w:val="center"/>
          </w:tcPr>
          <w:p>
            <w:pPr>
              <w:pStyle w:val="TableContents"/>
              <w:bidi w:val="0"/>
              <w:spacing w:before="0" w:after="283"/>
              <w:jc w:val="left"/>
              <w:rPr>
                <w:sz w:val="4"/>
                <w:szCs w:val="4"/>
              </w:rPr>
            </w:pPr>
            <w:r>
              <w:rPr>
                <w:sz w:val="4"/>
                <w:szCs w:val="4"/>
              </w:rPr>
            </w:r>
          </w:p>
        </w:tc>
        <w:tc>
          <w:tcPr>
            <w:tcW w:w="929" w:type="dxa"/>
            <w:gridSpan w:val="4"/>
            <w:tcBorders/>
            <w:vAlign w:val="center"/>
          </w:tcPr>
          <w:p>
            <w:pPr>
              <w:pStyle w:val="TableContents"/>
              <w:bidi w:val="0"/>
              <w:spacing w:before="0" w:after="283"/>
              <w:jc w:val="left"/>
              <w:rPr>
                <w:sz w:val="4"/>
                <w:szCs w:val="4"/>
              </w:rPr>
            </w:pPr>
            <w:r>
              <w:rPr>
                <w:sz w:val="4"/>
                <w:szCs w:val="4"/>
              </w:rPr>
            </w:r>
          </w:p>
        </w:tc>
        <w:tc>
          <w:tcPr>
            <w:tcW w:w="1241" w:type="dxa"/>
            <w:gridSpan w:val="4"/>
            <w:tcBorders/>
            <w:vAlign w:val="center"/>
          </w:tcPr>
          <w:p>
            <w:pPr>
              <w:pStyle w:val="TableContents"/>
              <w:bidi w:val="0"/>
              <w:spacing w:before="0" w:after="283"/>
              <w:jc w:val="left"/>
              <w:rPr>
                <w:sz w:val="4"/>
                <w:szCs w:val="4"/>
              </w:rPr>
            </w:pPr>
            <w:r>
              <w:rPr>
                <w:sz w:val="4"/>
                <w:szCs w:val="4"/>
              </w:rPr>
            </w:r>
          </w:p>
        </w:tc>
        <w:tc>
          <w:tcPr>
            <w:tcW w:w="1431"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438" w:type="dxa"/>
            <w:gridSpan w:val="4"/>
            <w:tcBorders/>
            <w:vAlign w:val="center"/>
          </w:tcPr>
          <w:p>
            <w:pPr>
              <w:pStyle w:val="TableContents"/>
              <w:bidi w:val="0"/>
              <w:spacing w:before="0" w:after="283"/>
              <w:jc w:val="left"/>
              <w:rPr>
                <w:sz w:val="4"/>
                <w:szCs w:val="4"/>
              </w:rPr>
            </w:pPr>
            <w:r>
              <w:rPr>
                <w:sz w:val="4"/>
                <w:szCs w:val="4"/>
              </w:rPr>
            </w:r>
          </w:p>
        </w:tc>
      </w:tr>
      <w:tr>
        <w:trPr/>
        <w:tc>
          <w:tcPr>
            <w:tcW w:w="3731" w:type="dxa"/>
            <w:tcBorders/>
          </w:tcPr>
          <w:p>
            <w:pPr>
              <w:pStyle w:val="TableContents"/>
              <w:bidi w:val="0"/>
              <w:spacing w:before="0" w:after="0"/>
              <w:jc w:val="left"/>
              <w:rPr>
                <w:rFonts w:ascii="Times New Roman" w:hAnsi="Times New Roman"/>
                <w:b/>
                <w:sz w:val="20"/>
              </w:rPr>
            </w:pPr>
            <w:r>
              <w:rPr>
                <w:rFonts w:ascii="Times New Roman" w:hAnsi="Times New Roman"/>
                <w:b/>
                <w:sz w:val="20"/>
              </w:rPr>
              <w:t>Vaseem Mahboob</w:t>
            </w:r>
          </w:p>
          <w:p>
            <w:pPr>
              <w:pStyle w:val="TableContents"/>
              <w:bidi w:val="0"/>
              <w:spacing w:before="0" w:after="20"/>
              <w:jc w:val="left"/>
              <w:rPr>
                <w:rFonts w:ascii="Times New Roman" w:hAnsi="Times New Roman"/>
                <w:i/>
                <w:sz w:val="20"/>
              </w:rPr>
            </w:pPr>
            <w:r>
              <w:rPr>
                <w:rFonts w:ascii="Times New Roman" w:hAnsi="Times New Roman"/>
                <w:i/>
                <w:sz w:val="20"/>
              </w:rPr>
              <w:t>Chief Financial Officer</w:t>
            </w:r>
          </w:p>
        </w:tc>
        <w:tc>
          <w:tcPr>
            <w:tcW w:w="30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b/>
              </w:rPr>
            </w:pPr>
            <w:r>
              <w:rPr>
                <w:b/>
              </w:rPr>
              <w:t>2024</w:t>
            </w:r>
          </w:p>
        </w:tc>
        <w:tc>
          <w:tcPr>
            <w:tcW w:w="60" w:type="dxa"/>
            <w:tcBorders/>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2" w:type="dxa"/>
            <w:tcBorders/>
          </w:tcPr>
          <w:p>
            <w:pPr>
              <w:pStyle w:val="TableContents"/>
              <w:bidi w:val="0"/>
              <w:spacing w:before="0" w:after="283"/>
              <w:jc w:val="right"/>
              <w:rPr/>
            </w:pPr>
            <w:r>
              <w:rPr/>
              <w:t>397,515</w:t>
            </w:r>
          </w:p>
        </w:tc>
        <w:tc>
          <w:tcPr>
            <w:tcW w:w="60" w:type="dxa"/>
            <w:tcBorders/>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3" w:type="dxa"/>
            <w:tcBorders/>
          </w:tcPr>
          <w:p>
            <w:pPr>
              <w:pStyle w:val="TableContents"/>
              <w:bidi w:val="0"/>
              <w:spacing w:before="0" w:after="283"/>
              <w:jc w:val="left"/>
              <w:rPr/>
            </w:pPr>
            <w:r>
              <w:rPr/>
              <w:t> </w:t>
            </w:r>
          </w:p>
        </w:tc>
        <w:tc>
          <w:tcPr>
            <w:tcW w:w="989" w:type="dxa"/>
            <w:tcBorders/>
          </w:tcPr>
          <w:p>
            <w:pPr>
              <w:pStyle w:val="TableContents"/>
              <w:bidi w:val="0"/>
              <w:spacing w:before="0" w:after="283"/>
              <w:jc w:val="right"/>
              <w:rPr/>
            </w:pPr>
            <w:r>
              <w:rPr/>
              <w:t>119,255</w:t>
            </w:r>
          </w:p>
        </w:tc>
        <w:tc>
          <w:tcPr>
            <w:tcW w:w="60" w:type="dxa"/>
            <w:tcBorders/>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4" w:type="dxa"/>
            <w:tcBorders/>
          </w:tcPr>
          <w:p>
            <w:pPr>
              <w:pStyle w:val="TableContents"/>
              <w:bidi w:val="0"/>
              <w:spacing w:before="0" w:after="283"/>
              <w:jc w:val="left"/>
              <w:rPr/>
            </w:pPr>
            <w:r>
              <w:rPr/>
              <w:t> </w:t>
            </w:r>
          </w:p>
        </w:tc>
        <w:tc>
          <w:tcPr>
            <w:tcW w:w="982" w:type="dxa"/>
            <w:tcBorders/>
          </w:tcPr>
          <w:p>
            <w:pPr>
              <w:pStyle w:val="TableContents"/>
              <w:bidi w:val="0"/>
              <w:spacing w:before="0" w:after="283"/>
              <w:jc w:val="right"/>
              <w:rPr/>
            </w:pPr>
            <w:r>
              <w:rPr/>
              <w:t>13,406</w:t>
            </w:r>
          </w:p>
        </w:tc>
        <w:tc>
          <w:tcPr>
            <w:tcW w:w="60" w:type="dxa"/>
            <w:tcBorders/>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3" w:type="dxa"/>
            <w:tcBorders/>
          </w:tcPr>
          <w:p>
            <w:pPr>
              <w:pStyle w:val="TableContents"/>
              <w:bidi w:val="0"/>
              <w:spacing w:before="0" w:after="283"/>
              <w:jc w:val="left"/>
              <w:rPr/>
            </w:pPr>
            <w:r>
              <w:rPr/>
              <w:t> </w:t>
            </w:r>
          </w:p>
        </w:tc>
        <w:tc>
          <w:tcPr>
            <w:tcW w:w="989" w:type="dxa"/>
            <w:tcBorders/>
          </w:tcPr>
          <w:p>
            <w:pPr>
              <w:pStyle w:val="TableContents"/>
              <w:bidi w:val="0"/>
              <w:spacing w:before="0" w:after="283"/>
              <w:jc w:val="right"/>
              <w:rPr/>
            </w:pPr>
            <w:r>
              <w:rPr/>
              <w:t>530,176</w:t>
            </w:r>
          </w:p>
        </w:tc>
        <w:tc>
          <w:tcPr>
            <w:tcW w:w="67" w:type="dxa"/>
            <w:tcBorders/>
          </w:tcPr>
          <w:p>
            <w:pPr>
              <w:pStyle w:val="TableContents"/>
              <w:bidi w:val="0"/>
              <w:spacing w:before="0" w:after="283"/>
              <w:jc w:val="left"/>
              <w:rPr/>
            </w:pPr>
            <w:r>
              <w:rPr/>
              <w:t> </w:t>
            </w:r>
          </w:p>
        </w:tc>
      </w:tr>
      <w:tr>
        <w:trPr>
          <w:trHeight w:val="120" w:hRule="atLeast"/>
        </w:trPr>
        <w:tc>
          <w:tcPr>
            <w:tcW w:w="3731" w:type="dxa"/>
            <w:tcBorders/>
            <w:vAlign w:val="center"/>
          </w:tcPr>
          <w:p>
            <w:pPr>
              <w:pStyle w:val="TableContents"/>
              <w:bidi w:val="0"/>
              <w:spacing w:before="0" w:after="283"/>
              <w:jc w:val="left"/>
              <w:rPr>
                <w:sz w:val="4"/>
                <w:szCs w:val="4"/>
              </w:rPr>
            </w:pPr>
            <w:r>
              <w:rPr>
                <w:sz w:val="4"/>
                <w:szCs w:val="4"/>
              </w:rPr>
            </w:r>
          </w:p>
        </w:tc>
        <w:tc>
          <w:tcPr>
            <w:tcW w:w="929" w:type="dxa"/>
            <w:gridSpan w:val="4"/>
            <w:tcBorders/>
            <w:vAlign w:val="center"/>
          </w:tcPr>
          <w:p>
            <w:pPr>
              <w:pStyle w:val="TableContents"/>
              <w:bidi w:val="0"/>
              <w:spacing w:before="0" w:after="283"/>
              <w:jc w:val="left"/>
              <w:rPr>
                <w:sz w:val="4"/>
                <w:szCs w:val="4"/>
              </w:rPr>
            </w:pPr>
            <w:r>
              <w:rPr>
                <w:sz w:val="4"/>
                <w:szCs w:val="4"/>
              </w:rPr>
            </w:r>
          </w:p>
        </w:tc>
        <w:tc>
          <w:tcPr>
            <w:tcW w:w="1241" w:type="dxa"/>
            <w:gridSpan w:val="4"/>
            <w:tcBorders/>
            <w:vAlign w:val="center"/>
          </w:tcPr>
          <w:p>
            <w:pPr>
              <w:pStyle w:val="TableContents"/>
              <w:bidi w:val="0"/>
              <w:spacing w:before="0" w:after="283"/>
              <w:jc w:val="left"/>
              <w:rPr>
                <w:sz w:val="4"/>
                <w:szCs w:val="4"/>
              </w:rPr>
            </w:pPr>
            <w:r>
              <w:rPr>
                <w:sz w:val="4"/>
                <w:szCs w:val="4"/>
              </w:rPr>
            </w:r>
          </w:p>
        </w:tc>
        <w:tc>
          <w:tcPr>
            <w:tcW w:w="1431"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438" w:type="dxa"/>
            <w:gridSpan w:val="4"/>
            <w:tcBorders/>
            <w:vAlign w:val="center"/>
          </w:tcPr>
          <w:p>
            <w:pPr>
              <w:pStyle w:val="TableContents"/>
              <w:bidi w:val="0"/>
              <w:spacing w:before="0" w:after="283"/>
              <w:jc w:val="left"/>
              <w:rPr>
                <w:sz w:val="4"/>
                <w:szCs w:val="4"/>
              </w:rPr>
            </w:pPr>
            <w:r>
              <w:rPr>
                <w:sz w:val="4"/>
                <w:szCs w:val="4"/>
              </w:rPr>
            </w:r>
          </w:p>
        </w:tc>
      </w:tr>
      <w:tr>
        <w:trPr/>
        <w:tc>
          <w:tcPr>
            <w:tcW w:w="37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Traci S. Umberger</w:t>
            </w:r>
          </w:p>
          <w:p>
            <w:pPr>
              <w:pStyle w:val="TableContents"/>
              <w:bidi w:val="0"/>
              <w:spacing w:before="0" w:after="20"/>
              <w:jc w:val="left"/>
              <w:rPr>
                <w:rFonts w:ascii="Times New Roman" w:hAnsi="Times New Roman"/>
                <w:i/>
                <w:sz w:val="20"/>
              </w:rPr>
            </w:pPr>
            <w:r>
              <w:rPr>
                <w:rFonts w:ascii="Times New Roman" w:hAnsi="Times New Roman"/>
                <w:i/>
                <w:sz w:val="20"/>
              </w:rPr>
              <w:t>General Counsel &amp; Chief Administrative Officer</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b/>
              </w:rPr>
            </w:pPr>
            <w:r>
              <w:rPr>
                <w:b/>
              </w:rPr>
              <w:t>2024</w:t>
            </w:r>
          </w:p>
        </w:tc>
        <w:tc>
          <w:tcPr>
            <w:tcW w:w="60" w:type="dxa"/>
            <w:tcBorders/>
            <w:shd w:fill="CCEEFF" w:val="clear"/>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2" w:type="dxa"/>
            <w:tcBorders/>
            <w:shd w:fill="CCEEFF" w:val="clear"/>
          </w:tcPr>
          <w:p>
            <w:pPr>
              <w:pStyle w:val="TableContents"/>
              <w:bidi w:val="0"/>
              <w:spacing w:before="0" w:after="283"/>
              <w:jc w:val="right"/>
              <w:rPr/>
            </w:pPr>
            <w:r>
              <w:rPr/>
              <w:t>364,395</w:t>
            </w:r>
          </w:p>
        </w:tc>
        <w:tc>
          <w:tcPr>
            <w:tcW w:w="60" w:type="dxa"/>
            <w:tcBorders/>
            <w:shd w:fill="CCEEFF" w:val="clear"/>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3" w:type="dxa"/>
            <w:tcBorders/>
            <w:shd w:fill="CCEEFF" w:val="clear"/>
          </w:tcPr>
          <w:p>
            <w:pPr>
              <w:pStyle w:val="TableContents"/>
              <w:bidi w:val="0"/>
              <w:spacing w:before="0" w:after="283"/>
              <w:jc w:val="left"/>
              <w:rPr/>
            </w:pPr>
            <w:r>
              <w:rPr/>
              <w:t> </w:t>
            </w:r>
          </w:p>
        </w:tc>
        <w:tc>
          <w:tcPr>
            <w:tcW w:w="989" w:type="dxa"/>
            <w:tcBorders/>
            <w:shd w:fill="CCEEFF" w:val="clear"/>
          </w:tcPr>
          <w:p>
            <w:pPr>
              <w:pStyle w:val="TableContents"/>
              <w:bidi w:val="0"/>
              <w:spacing w:before="0" w:after="283"/>
              <w:jc w:val="right"/>
              <w:rPr/>
            </w:pPr>
            <w:r>
              <w:rPr/>
              <w:t>109,319</w:t>
            </w:r>
          </w:p>
        </w:tc>
        <w:tc>
          <w:tcPr>
            <w:tcW w:w="60" w:type="dxa"/>
            <w:tcBorders/>
            <w:shd w:fill="CCEEFF" w:val="clear"/>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84" w:type="dxa"/>
            <w:tcBorders/>
            <w:shd w:fill="CCEEFF" w:val="clear"/>
          </w:tcPr>
          <w:p>
            <w:pPr>
              <w:pStyle w:val="TableContents"/>
              <w:bidi w:val="0"/>
              <w:spacing w:before="0" w:after="283"/>
              <w:jc w:val="left"/>
              <w:rPr/>
            </w:pPr>
            <w:r>
              <w:rPr/>
              <w:t> </w:t>
            </w:r>
          </w:p>
        </w:tc>
        <w:tc>
          <w:tcPr>
            <w:tcW w:w="982" w:type="dxa"/>
            <w:tcBorders/>
            <w:shd w:fill="CCEEFF" w:val="clear"/>
          </w:tcPr>
          <w:p>
            <w:pPr>
              <w:pStyle w:val="TableContents"/>
              <w:bidi w:val="0"/>
              <w:spacing w:before="0" w:after="283"/>
              <w:jc w:val="right"/>
              <w:rPr/>
            </w:pPr>
            <w:r>
              <w:rPr/>
              <w:t>24,575</w:t>
            </w:r>
          </w:p>
        </w:tc>
        <w:tc>
          <w:tcPr>
            <w:tcW w:w="60" w:type="dxa"/>
            <w:tcBorders/>
            <w:shd w:fill="CCEEFF" w:val="clear"/>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3" w:type="dxa"/>
            <w:tcBorders/>
            <w:shd w:fill="CCEEFF" w:val="clear"/>
          </w:tcPr>
          <w:p>
            <w:pPr>
              <w:pStyle w:val="TableContents"/>
              <w:bidi w:val="0"/>
              <w:spacing w:before="0" w:after="283"/>
              <w:jc w:val="left"/>
              <w:rPr/>
            </w:pPr>
            <w:r>
              <w:rPr/>
              <w:t> </w:t>
            </w:r>
          </w:p>
        </w:tc>
        <w:tc>
          <w:tcPr>
            <w:tcW w:w="989" w:type="dxa"/>
            <w:tcBorders/>
            <w:shd w:fill="CCEEFF" w:val="clear"/>
          </w:tcPr>
          <w:p>
            <w:pPr>
              <w:pStyle w:val="TableContents"/>
              <w:bidi w:val="0"/>
              <w:spacing w:before="0" w:after="283"/>
              <w:jc w:val="right"/>
              <w:rPr/>
            </w:pPr>
            <w:r>
              <w:rPr/>
              <w:t>498,289</w:t>
            </w:r>
          </w:p>
        </w:tc>
        <w:tc>
          <w:tcPr>
            <w:tcW w:w="67" w:type="dxa"/>
            <w:tcBorders/>
            <w:shd w:fill="CCEEFF" w:val="clea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base salary paid to each of our named executive officers during the fiscal year ended April 30,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annual performance-based cash bonuses earned by our NEOs in the applicable fiscal year and paid in the subsequent fiscal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reflected in All Other Compensation consist of, for fiscal year 2024, the following perquisites received by our NEOs in the amounts set forth in the following table: (a) a business allowance for monthly automobile use expenses, (b) an employer matching contribution to the 401(k) plan, (c) payments for the cost of premiums for a term life insurance policy paid by us, and (d) an annual executive physical with a designated physician, as well as certain additional medical, cardio, and lab tests.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055"/>
        <w:gridCol w:w="348"/>
        <w:gridCol w:w="62"/>
        <w:gridCol w:w="712"/>
        <w:gridCol w:w="60"/>
        <w:gridCol w:w="348"/>
        <w:gridCol w:w="60"/>
        <w:gridCol w:w="695"/>
        <w:gridCol w:w="60"/>
        <w:gridCol w:w="348"/>
        <w:gridCol w:w="60"/>
        <w:gridCol w:w="695"/>
        <w:gridCol w:w="60"/>
        <w:gridCol w:w="348"/>
        <w:gridCol w:w="65"/>
        <w:gridCol w:w="654"/>
        <w:gridCol w:w="60"/>
        <w:gridCol w:w="348"/>
        <w:gridCol w:w="85"/>
        <w:gridCol w:w="1012"/>
        <w:gridCol w:w="70"/>
      </w:tblGrid>
      <w:tr>
        <w:trPr/>
        <w:tc>
          <w:tcPr>
            <w:tcW w:w="40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Officer</w:t>
            </w:r>
          </w:p>
        </w:tc>
        <w:tc>
          <w:tcPr>
            <w:tcW w:w="348" w:type="dxa"/>
            <w:tcBorders/>
            <w:vAlign w:val="bottom"/>
          </w:tcPr>
          <w:p>
            <w:pPr>
              <w:pStyle w:val="TableContents"/>
              <w:bidi w:val="0"/>
              <w:spacing w:before="0" w:after="283"/>
              <w:jc w:val="left"/>
              <w:rPr/>
            </w:pPr>
            <w:r>
              <w:rPr/>
              <w:t>  </w:t>
            </w:r>
          </w:p>
        </w:tc>
        <w:tc>
          <w:tcPr>
            <w:tcW w:w="77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Business</w:t>
              <w:br/>
              <w:t>Allowance</w:t>
              <w:br/>
              <w:t>($)</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401(k)</w:t>
              <w:br/>
              <w:t>Company</w:t>
              <w:br/>
              <w:t>Match</w:t>
              <w:br/>
              <w:t>($)</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Life</w:t>
              <w:br/>
              <w:t>Insurance</w:t>
              <w:br/>
              <w:t>Premiums</w:t>
              <w:br/>
              <w:t>($)</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71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Physical</w:t>
              <w:br/>
              <w:t>Program</w:t>
              <w:br/>
              <w:t>($)</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Total All</w:t>
              <w:br/>
              <w:t>Other</w:t>
              <w:br/>
              <w:t>Compensation</w:t>
              <w:br/>
              <w:t>($)</w:t>
            </w:r>
          </w:p>
        </w:tc>
        <w:tc>
          <w:tcPr>
            <w:tcW w:w="70" w:type="dxa"/>
            <w:tcBorders/>
            <w:vAlign w:val="bottom"/>
          </w:tcPr>
          <w:p>
            <w:pPr>
              <w:pStyle w:val="TableContents"/>
              <w:bidi w:val="0"/>
              <w:spacing w:before="0" w:after="283"/>
              <w:jc w:val="left"/>
              <w:rPr/>
            </w:pPr>
            <w:r>
              <w:rPr/>
              <w:t> </w:t>
            </w:r>
          </w:p>
        </w:tc>
      </w:tr>
      <w:tr>
        <w:trPr/>
        <w:tc>
          <w:tcPr>
            <w:tcW w:w="4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Brian Webster</w:t>
            </w:r>
          </w:p>
        </w:tc>
        <w:tc>
          <w:tcPr>
            <w:tcW w:w="34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13,200</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13,536</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12,343</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42,079</w:t>
            </w:r>
          </w:p>
        </w:tc>
        <w:tc>
          <w:tcPr>
            <w:tcW w:w="70" w:type="dxa"/>
            <w:tcBorders/>
            <w:shd w:fill="CCEEFF" w:val="clear"/>
            <w:vAlign w:val="bottom"/>
          </w:tcPr>
          <w:p>
            <w:pPr>
              <w:pStyle w:val="TableContents"/>
              <w:bidi w:val="0"/>
              <w:spacing w:before="0" w:after="283"/>
              <w:jc w:val="left"/>
              <w:rPr/>
            </w:pPr>
            <w:r>
              <w:rPr/>
              <w:t> </w:t>
            </w:r>
          </w:p>
        </w:tc>
      </w:tr>
      <w:tr>
        <w:trPr/>
        <w:tc>
          <w:tcPr>
            <w:tcW w:w="4055" w:type="dxa"/>
            <w:tcBorders/>
          </w:tcPr>
          <w:p>
            <w:pPr>
              <w:pStyle w:val="TableContents"/>
              <w:bidi w:val="0"/>
              <w:spacing w:before="0" w:after="0"/>
              <w:jc w:val="left"/>
              <w:rPr>
                <w:rFonts w:ascii="Times New Roman" w:hAnsi="Times New Roman"/>
                <w:b/>
                <w:sz w:val="20"/>
              </w:rPr>
            </w:pPr>
            <w:r>
              <w:rPr>
                <w:rFonts w:ascii="Times New Roman" w:hAnsi="Times New Roman"/>
                <w:b/>
                <w:sz w:val="20"/>
              </w:rPr>
              <w:t>Vaseem Mahboob</w:t>
            </w:r>
          </w:p>
        </w:tc>
        <w:tc>
          <w:tcPr>
            <w:tcW w:w="34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13,405</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13,405</w:t>
            </w:r>
          </w:p>
        </w:tc>
        <w:tc>
          <w:tcPr>
            <w:tcW w:w="70" w:type="dxa"/>
            <w:tcBorders/>
            <w:vAlign w:val="bottom"/>
          </w:tcPr>
          <w:p>
            <w:pPr>
              <w:pStyle w:val="TableContents"/>
              <w:bidi w:val="0"/>
              <w:spacing w:before="0" w:after="283"/>
              <w:jc w:val="left"/>
              <w:rPr/>
            </w:pPr>
            <w:r>
              <w:rPr/>
              <w:t> </w:t>
            </w:r>
          </w:p>
        </w:tc>
      </w:tr>
      <w:tr>
        <w:trPr/>
        <w:tc>
          <w:tcPr>
            <w:tcW w:w="40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Traci S. Umberger</w:t>
            </w:r>
          </w:p>
        </w:tc>
        <w:tc>
          <w:tcPr>
            <w:tcW w:w="34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12,000</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9,103</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3,471</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27,574</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Outstanding Equity Awards Table at Fiscal 2024 Year 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about outstanding equity awards held by each of our named executive officers as of April 30,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40"/>
        <w:gridCol w:w="294"/>
        <w:gridCol w:w="684"/>
        <w:gridCol w:w="294"/>
        <w:gridCol w:w="60"/>
        <w:gridCol w:w="1107"/>
        <w:gridCol w:w="60"/>
        <w:gridCol w:w="294"/>
        <w:gridCol w:w="1344"/>
        <w:gridCol w:w="294"/>
        <w:gridCol w:w="60"/>
        <w:gridCol w:w="1107"/>
        <w:gridCol w:w="67"/>
      </w:tblGrid>
      <w:tr>
        <w:trPr/>
        <w:tc>
          <w:tcPr>
            <w:tcW w:w="454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54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4326" w:type="dxa"/>
            <w:gridSpan w:val="8"/>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Option Awards (1)</w:t>
            </w:r>
          </w:p>
        </w:tc>
        <w:tc>
          <w:tcPr>
            <w:tcW w:w="67" w:type="dxa"/>
            <w:tcBorders/>
            <w:vAlign w:val="bottom"/>
          </w:tcPr>
          <w:p>
            <w:pPr>
              <w:pStyle w:val="TableContents"/>
              <w:bidi w:val="0"/>
              <w:spacing w:before="0" w:after="283"/>
              <w:jc w:val="left"/>
              <w:rPr/>
            </w:pPr>
            <w:r>
              <w:rPr/>
              <w:t> </w:t>
            </w:r>
          </w:p>
        </w:tc>
      </w:tr>
      <w:tr>
        <w:trPr/>
        <w:tc>
          <w:tcPr>
            <w:tcW w:w="4540"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Officer</w:t>
            </w:r>
          </w:p>
        </w:tc>
        <w:tc>
          <w:tcPr>
            <w:tcW w:w="294" w:type="dxa"/>
            <w:tcBorders/>
            <w:vAlign w:val="bottom"/>
          </w:tcPr>
          <w:p>
            <w:pPr>
              <w:pStyle w:val="TableContents"/>
              <w:bidi w:val="0"/>
              <w:spacing w:before="0" w:after="283"/>
              <w:jc w:val="left"/>
              <w:rPr/>
            </w:pPr>
            <w:r>
              <w:rPr/>
              <w:t>  </w:t>
            </w:r>
          </w:p>
        </w:tc>
        <w:tc>
          <w:tcPr>
            <w:tcW w:w="68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Grant</w:t>
              <w:br/>
              <w:t>Date</w:t>
            </w:r>
          </w:p>
        </w:tc>
        <w:tc>
          <w:tcPr>
            <w:tcW w:w="294"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 of</w:t>
              <w:br/>
              <w:t>Securities</w:t>
              <w:br/>
              <w:t>Underlying</w:t>
              <w:br/>
              <w:t>Unexercised</w:t>
              <w:br/>
              <w:t>Options (#)</w:t>
              <w:br/>
              <w:t>Exercisable (2)</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 of</w:t>
              <w:br/>
              <w:t>Securities</w:t>
              <w:br/>
              <w:t>Underlying</w:t>
              <w:br/>
              <w:t>Unexercised</w:t>
              <w:br/>
              <w:t>Options (#)</w:t>
              <w:br/>
              <w:t>Unexercisable (2)</w:t>
            </w:r>
          </w:p>
        </w:tc>
        <w:tc>
          <w:tcPr>
            <w:tcW w:w="294"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Equity</w:t>
              <w:br/>
              <w:t>Incentive</w:t>
              <w:br/>
              <w:t>Plan</w:t>
              <w:br/>
              <w:t>Awards:</w:t>
              <w:br/>
              <w:t>Number of</w:t>
              <w:br/>
              <w:t>Securities</w:t>
              <w:br/>
              <w:t>Underlying</w:t>
              <w:br/>
              <w:t>Unexercised</w:t>
              <w:br/>
              <w:t>Unearned</w:t>
              <w:br/>
              <w:t>Options (#) (2)</w:t>
            </w:r>
          </w:p>
        </w:tc>
        <w:tc>
          <w:tcPr>
            <w:tcW w:w="67" w:type="dxa"/>
            <w:tcBorders/>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Brian Webster</w:t>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10/21/14</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132,702.19</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132,702.19</w:t>
            </w:r>
          </w:p>
        </w:tc>
        <w:tc>
          <w:tcPr>
            <w:tcW w:w="67" w:type="dxa"/>
            <w:tcBorders/>
            <w:shd w:fill="CCEEFF" w:val="clear"/>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10/17/16</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84,855.64</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84,855.64</w:t>
            </w:r>
          </w:p>
        </w:tc>
        <w:tc>
          <w:tcPr>
            <w:tcW w:w="67" w:type="dxa"/>
            <w:tcBorders/>
            <w:shd w:fill="CCEEFF" w:val="clear"/>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3/26/18</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173,069.79</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173,069.79</w:t>
            </w:r>
          </w:p>
        </w:tc>
        <w:tc>
          <w:tcPr>
            <w:tcW w:w="67" w:type="dxa"/>
            <w:tcBorders/>
            <w:shd w:fill="CCEEFF" w:val="clear"/>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11/26/19</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61,499.14</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61,499.14</w:t>
            </w:r>
          </w:p>
        </w:tc>
        <w:tc>
          <w:tcPr>
            <w:tcW w:w="67" w:type="dxa"/>
            <w:tcBorders/>
            <w:shd w:fill="CCEEFF" w:val="clear"/>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12/20/20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284,633.54</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284,633.54</w:t>
            </w:r>
          </w:p>
        </w:tc>
        <w:tc>
          <w:tcPr>
            <w:tcW w:w="67" w:type="dxa"/>
            <w:tcBorders/>
            <w:shd w:fill="CCEEFF" w:val="clear"/>
            <w:vAlign w:val="bottom"/>
          </w:tcPr>
          <w:p>
            <w:pPr>
              <w:pStyle w:val="TableContents"/>
              <w:bidi w:val="0"/>
              <w:spacing w:before="0" w:after="283"/>
              <w:jc w:val="left"/>
              <w:rPr/>
            </w:pPr>
            <w:r>
              <w:rPr/>
              <w:t> </w:t>
            </w:r>
          </w:p>
        </w:tc>
      </w:tr>
      <w:tr>
        <w:trPr/>
        <w:tc>
          <w:tcPr>
            <w:tcW w:w="45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Vaseem Mahboob</w:t>
            </w:r>
          </w:p>
        </w:tc>
        <w:tc>
          <w:tcPr>
            <w:tcW w:w="29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center"/>
              <w:rPr>
                <w:b/>
              </w:rPr>
            </w:pPr>
            <w:r>
              <w:rPr>
                <w:b/>
              </w:rPr>
              <w:t>10/18/21</w:t>
            </w:r>
          </w:p>
        </w:tc>
        <w:tc>
          <w:tcPr>
            <w:tcW w:w="2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38,500.00</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center"/>
              <w:rPr/>
            </w:pPr>
            <w:r>
              <w:rPr/>
              <w:t>38,500.00</w:t>
            </w:r>
          </w:p>
        </w:tc>
        <w:tc>
          <w:tcPr>
            <w:tcW w:w="2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77,000.00</w:t>
            </w:r>
          </w:p>
        </w:tc>
        <w:tc>
          <w:tcPr>
            <w:tcW w:w="67" w:type="dxa"/>
            <w:tcBorders/>
            <w:vAlign w:val="bottom"/>
          </w:tcPr>
          <w:p>
            <w:pPr>
              <w:pStyle w:val="TableContents"/>
              <w:bidi w:val="0"/>
              <w:spacing w:before="0" w:after="283"/>
              <w:jc w:val="left"/>
              <w:rPr/>
            </w:pPr>
            <w:r>
              <w:rPr/>
              <w:t> </w:t>
            </w:r>
          </w:p>
        </w:tc>
      </w:tr>
      <w:tr>
        <w:trPr/>
        <w:tc>
          <w:tcPr>
            <w:tcW w:w="4540" w:type="dxa"/>
            <w:tcBorders/>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center"/>
              <w:rPr>
                <w:b/>
              </w:rPr>
            </w:pPr>
            <w:r>
              <w:rPr>
                <w:b/>
              </w:rPr>
              <w:t>11/10/22</w:t>
            </w:r>
          </w:p>
        </w:tc>
        <w:tc>
          <w:tcPr>
            <w:tcW w:w="2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3,850.00</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center"/>
              <w:rPr/>
            </w:pPr>
            <w:r>
              <w:rPr/>
              <w:t>11,550.00</w:t>
            </w:r>
          </w:p>
        </w:tc>
        <w:tc>
          <w:tcPr>
            <w:tcW w:w="2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15,400.00</w:t>
            </w:r>
          </w:p>
        </w:tc>
        <w:tc>
          <w:tcPr>
            <w:tcW w:w="67" w:type="dxa"/>
            <w:tcBorders/>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Traci S. Umberger</w:t>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10/21/14</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32,177.00</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32,177.00</w:t>
            </w:r>
          </w:p>
        </w:tc>
        <w:tc>
          <w:tcPr>
            <w:tcW w:w="67" w:type="dxa"/>
            <w:tcBorders/>
            <w:shd w:fill="CCEEFF" w:val="clear"/>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10/26/16</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27,157.23</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27,157.23</w:t>
            </w:r>
          </w:p>
        </w:tc>
        <w:tc>
          <w:tcPr>
            <w:tcW w:w="67" w:type="dxa"/>
            <w:tcBorders/>
            <w:shd w:fill="CCEEFF" w:val="clear"/>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3/20/18</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48,711.70</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48,711.70</w:t>
            </w:r>
          </w:p>
        </w:tc>
        <w:tc>
          <w:tcPr>
            <w:tcW w:w="67" w:type="dxa"/>
            <w:tcBorders/>
            <w:shd w:fill="CCEEFF" w:val="clear"/>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11/26/19</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17,010.40</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17,010.40</w:t>
            </w:r>
          </w:p>
        </w:tc>
        <w:tc>
          <w:tcPr>
            <w:tcW w:w="67" w:type="dxa"/>
            <w:tcBorders/>
            <w:shd w:fill="CCEEFF" w:val="clear"/>
            <w:vAlign w:val="bottom"/>
          </w:tcPr>
          <w:p>
            <w:pPr>
              <w:pStyle w:val="TableContents"/>
              <w:bidi w:val="0"/>
              <w:spacing w:before="0" w:after="283"/>
              <w:jc w:val="left"/>
              <w:rPr/>
            </w:pPr>
            <w:r>
              <w:rPr/>
              <w:t> </w:t>
            </w:r>
          </w:p>
        </w:tc>
      </w:tr>
      <w:tr>
        <w:trPr/>
        <w:tc>
          <w:tcPr>
            <w:tcW w:w="4540" w:type="dxa"/>
            <w:tcBorders/>
            <w:shd w:fill="CCEEFF" w:val="clear"/>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center"/>
              <w:rPr>
                <w:b/>
              </w:rPr>
            </w:pPr>
            <w:r>
              <w:rPr>
                <w:b/>
              </w:rPr>
              <w:t>12/8/20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78,728.42</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center"/>
              <w:rPr/>
            </w:pPr>
            <w:r>
              <w:rPr/>
              <w:t>0.00</w:t>
            </w:r>
          </w:p>
        </w:tc>
        <w:tc>
          <w:tcPr>
            <w:tcW w:w="2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78,728.42</w:t>
            </w:r>
          </w:p>
        </w:tc>
        <w:tc>
          <w:tcPr>
            <w:tcW w:w="67"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reflects information regarding incentive units granted to our named executive officers that were outstanding as of April 30, 2024. For more information on these incentive units, see the Equity Incentive Compensation section below. The incentive units are not traditional options, and therefore, there is no exercise price, but rather the incentive units participate in distributions attributable to the appreciation in the fair market value of West Affum Holdings, L.P., or profits of West Affum Holdings, L.P., after their respective dates of grant. The incentive units have no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incentive units granted to our named executive officers that were outstanding as of April 30, 2024 vest based on the achievement of specified phases of the Companys development program (all of which were achieved as of July 2021), subject to continued employment through each applicable date, other than (i) the December 2020 grants to Mr. Webster and Ms. Umberger, which are subject to time-based vesting and vest in three equal installments on July 1, 2021, July 1, 2022 and July 1, 2023, (ii) Mr. Mahboobs October 2021 grant, which is subject to time-based vesting and vests in four equal installments on each of October 18, 2022, October 18, 2023, October 18, 2024 and October 18, 2025, and (iii) Mr. Mahboobs November 2022 grant, which is subject to time-based vesting and vests in four equal installments on each of November 10, 2023, November 10, 2024, November 10, 2025 and November 10, 2026. See Equity Incentive CompensationIncentive UnitsVestingUpon Consummation of this Offering for information regarding the vesting and conversion of these incentive units into our common shares upon the consummation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Employment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17, 2016, Kestra Medical Technologies, Inc. entered into an employment agreement with Mr. Webster to serve as the Chief Executive Officer of Kestra Medical Technologies, Inc. and our principal executive officer. The initial term of his employment agreement expired on December 31, 2020; however, the employment agreement provides for automatic successive one-year renewals unless either party provides 90 days prior written notice. Mr. Websters employment agreement provides for an initial annual base salary of $400,000 (which is subject to review by the Board at least annually for possible increase), as well as eligibility for Mr. Webster to earn an annual cash bonus with a target bonus opportunity equal to a specified percentage of base salary as described below in the Non-Equity Incentive Plan Compensation section.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10, 2021, Kestra Medical Technologies, Inc. entered into an employment agreement with Mr. Mahboob to serve as the Chief Financial Officer of Kestra Medical Technologies, Inc. The initial term of his employment agreement expires on April 30, 2025, and the employment agreement provides for automatic successive one-year renewals unless either party provides 90 days prior written notice. Mr. Mahboobs employment agreement provides for an initial annual base salary of $375,000 (which is subject to review by the Board at least annually for possible increase), as well as eligibility for Mr. Mahboob to earn an annual cash bonus with a target bonus opportunity equal to a specified percentage of base salary as described below in the Non-Equity Incentive Plan Compensation section.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26, 2016, Kestra Medical Technologies, Inc. entered into an employment agreement with Ms. Umberger to serve as the General Counsel, Chief Administrative Officer of Kestra Medical Technologies, Inc. The initial term of her employment agreement expired on December 31, 2020; however, the employment agreement provides for automatic successive one-year renewals unless either party provides 90 days prior written notice. Ms. Umbergers employment agreement provides for an initial annual base salary of $260,000 (which is subject to review by the Board at least annually for possible increase), as well as eligibility for Ms. Umberger to earn a target bonus opportunity equal to a specified percentage of base salary as described below in the Non-Equity Incentive Plan Compensation section. </w:t>
      </w:r>
    </w:p>
    <w:p>
      <w:pPr>
        <w:pStyle w:val="TextBody"/>
        <w:bidi w:val="0"/>
        <w:spacing w:before="240" w:after="0"/>
        <w:jc w:val="left"/>
        <w:rPr>
          <w:rFonts w:ascii="Times New Roman" w:hAnsi="Times New Roman"/>
          <w:sz w:val="20"/>
        </w:rPr>
      </w:pPr>
      <w:r>
        <w:rPr>
          <w:rFonts w:ascii="Times New Roman" w:hAnsi="Times New Roman"/>
          <w:sz w:val="20"/>
        </w:rPr>
        <w:t xml:space="preserve">Upon a termination due to death or disability Mr. Webster, Mr. Mahboob, and Ms. Umberger are entitled to receive a pro rata portion of their respective annual cash bonus for the calendar year of termination, based on actual achievement. Upon a termination by Kestra Medical Technologies, Inc. without Cause, resignation by the NEO for Good Reason (each as defined in the employment agreement), or non-renewal of the employment agreement term by Kestra Medical Technologies, Inc., subject to the NEOs timely execution and non-revocation of a release of claims in Kestra Medical Technologies, Inc.s favor and their continued compliance with the restrictive covenants set forth in the employment agreement (as described below), Mr. Webster, Mr. Mahboob, and Ms. Umberger respectively are entitled to receive (i) a cash payment equal to two times (or for Mr. Mahboob, one times) the sum of their respective current (x) base salary and (y) target bonus, payable in equal monthly installments for a period of 12 months following termination, and (ii) continued participation in Kestra Medical Technologies, Inc.s group health plan for 12 months (or for Mr. Mahboob, six months)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Each NEOs employment agreement provides for the following restrictive covenants: (i) non-competition, and non-solicitation and non-hire of employees (and for Mr. Webster and Ms. Umberger only, or service providers), in each case, during employment and for two years following termination (except for Mr. Mahboob, who has only one year), (ii) perpetual mutual non-disparagement, (iii) perpetual non-disclosure of confidential information, and (iv) assignment of intellectual property. </w:t>
      </w:r>
    </w:p>
    <w:p>
      <w:pPr>
        <w:pStyle w:val="TextBody"/>
        <w:bidi w:val="0"/>
        <w:spacing w:before="240" w:after="0"/>
        <w:jc w:val="left"/>
        <w:rPr>
          <w:rFonts w:ascii="Times New Roman" w:hAnsi="Times New Roman"/>
          <w:b/>
          <w:sz w:val="20"/>
        </w:rPr>
      </w:pPr>
      <w:r>
        <w:rPr>
          <w:rFonts w:ascii="Times New Roman" w:hAnsi="Times New Roman"/>
          <w:b/>
          <w:sz w:val="20"/>
        </w:rPr>
        <w:t xml:space="preserve">Benefit Plans and Policies </w:t>
      </w:r>
    </w:p>
    <w:p>
      <w:pPr>
        <w:pStyle w:val="TextBody"/>
        <w:bidi w:val="0"/>
        <w:spacing w:before="240" w:after="0"/>
        <w:jc w:val="left"/>
        <w:rPr>
          <w:rFonts w:ascii="Times New Roman" w:hAnsi="Times New Roman"/>
          <w:sz w:val="20"/>
        </w:rPr>
      </w:pPr>
      <w:r>
        <w:rPr>
          <w:rFonts w:ascii="Times New Roman" w:hAnsi="Times New Roman"/>
          <w:sz w:val="20"/>
        </w:rPr>
        <w:t xml:space="preserve">Each of the NEOs participates in the Kestra Medical Technologies, Inc.s Executive Benefits Policy, which provides for a matching employer contribution under the Companys 401(k) plan, and medical, vision, dental, life and accidental death and dismemberment insurance, disability and a flexible savings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Non-Equity Incentive Plan Compensation </w:t>
      </w:r>
    </w:p>
    <w:p>
      <w:pPr>
        <w:pStyle w:val="TextBody"/>
        <w:bidi w:val="0"/>
        <w:spacing w:before="240" w:after="0"/>
        <w:jc w:val="left"/>
        <w:rPr>
          <w:rFonts w:ascii="Times New Roman" w:hAnsi="Times New Roman"/>
          <w:sz w:val="20"/>
        </w:rPr>
      </w:pPr>
      <w:r>
        <w:rPr>
          <w:rFonts w:ascii="Times New Roman" w:hAnsi="Times New Roman"/>
          <w:sz w:val="20"/>
        </w:rPr>
        <w:t xml:space="preserve">Mr. Webster, Mr. Mahboob, and Ms. Umberger are each eligible to receive an annual cash bonus during each fiscal year, with a target annual bonus opportunity equal to 50%, 40% and 40% of the annual base salary, respectively. The performance goals for all Kestra Medical Technologies, Ltd. employees (including our NEOs) are defined for each quarter, based on the performance of the overall company (and the applicable division of the company) and the applicable individual. Any annual bonus payable to Mr. Webster, Mr. Mahboob, and Ms. Umberger are paid following completion of the fiscal year to which performance relates, subject to the Board of Directors determination of achievement of the applicable performance goals. </w:t>
      </w:r>
    </w:p>
    <w:p>
      <w:pPr>
        <w:pStyle w:val="TextBody"/>
        <w:bidi w:val="0"/>
        <w:spacing w:before="240" w:after="0"/>
        <w:jc w:val="left"/>
        <w:rPr>
          <w:rFonts w:ascii="Times New Roman" w:hAnsi="Times New Roman"/>
          <w:b/>
          <w:sz w:val="20"/>
        </w:rPr>
      </w:pPr>
      <w:r>
        <w:rPr>
          <w:rFonts w:ascii="Times New Roman" w:hAnsi="Times New Roman"/>
          <w:b/>
          <w:sz w:val="20"/>
        </w:rPr>
        <w:t xml:space="preserve">Equity Incentive Compensation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Incentive Units </w:t>
      </w:r>
    </w:p>
    <w:p>
      <w:pPr>
        <w:pStyle w:val="TextBody"/>
        <w:bidi w:val="0"/>
        <w:spacing w:before="240" w:after="0"/>
        <w:jc w:val="left"/>
        <w:rPr>
          <w:rFonts w:ascii="Times New Roman" w:hAnsi="Times New Roman"/>
          <w:sz w:val="20"/>
        </w:rPr>
      </w:pPr>
      <w:r>
        <w:rPr>
          <w:rFonts w:ascii="Times New Roman" w:hAnsi="Times New Roman"/>
          <w:sz w:val="20"/>
        </w:rPr>
        <w:t xml:space="preserve">West Affum Holdings, L.P. has granted incentive units to certain employees and service providers of Kestra Medical Technologies, Ltd.s, which are governed by the terms of the individual award agreement documenting the grant and the Partnership Agreement. The incentive units are intended to qualify as profits interests for federal income tax purposes. </w:t>
      </w:r>
    </w:p>
    <w:p>
      <w:pPr>
        <w:pStyle w:val="TextBody"/>
        <w:bidi w:val="0"/>
        <w:spacing w:before="240" w:after="0"/>
        <w:jc w:val="left"/>
        <w:rPr>
          <w:rFonts w:ascii="Times New Roman" w:hAnsi="Times New Roman"/>
          <w:i/>
          <w:sz w:val="20"/>
        </w:rPr>
      </w:pPr>
      <w:r>
        <w:rPr>
          <w:rFonts w:ascii="Times New Roman" w:hAnsi="Times New Roman"/>
          <w:i/>
          <w:sz w:val="20"/>
        </w:rPr>
        <w:t xml:space="preserve">Vesting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an individual award agreement, grants of incentive units (in the form of Restricted Common Units) vest either based on the achievement of specified performance goals or based on service. The performance-based incentive units generally vest based on the achievement of specified phases of Kestra Medical Technologies, Ltd.s development program, subject to continued employment through each applicable date. The time-based incentive units generally vest 25% on the first four anniversaries of the applicable grant date, subject to continued employment through each such date, other than the time-based incentive units for Mr. Webster and Ms. Umberger which vested in three equal installments on July 1, 2021, July 1, 2022, and July 1, 2023. Further information with respect to our named executive officers equity awards is set forth above in the Outstanding Equity Awards Table. All unvested incentive units accelerate and vest upon the occurrence of a Sale of the Partnership (as defined in the Partnership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Upon Consummation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this offering, the Board will accelerate the unvested incentive units of each participant and all vested incentive units will then be converted into shares of our common stock, which conversion will be based on the per-share price to the public in this offering. For more information, see the section titled Organizational Transactions. </w:t>
      </w:r>
    </w:p>
    <w:p>
      <w:pPr>
        <w:pStyle w:val="TextBody"/>
        <w:bidi w:val="0"/>
        <w:spacing w:before="240" w:after="0"/>
        <w:jc w:val="left"/>
        <w:rPr>
          <w:rFonts w:ascii="Times New Roman" w:hAnsi="Times New Roman"/>
          <w:i/>
          <w:sz w:val="20"/>
        </w:rPr>
      </w:pPr>
      <w:r>
        <w:rPr>
          <w:rFonts w:ascii="Times New Roman" w:hAnsi="Times New Roman"/>
          <w:i/>
          <w:sz w:val="20"/>
        </w:rPr>
        <w:t xml:space="preserve">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Incentive unit holders are generally subject to the following restrictive covenants, which are included in the applicable award agreement, (i) non-competition, and non-solicitation and non-hire of employees or service providers, in each case, during employment and for one year following termination, (ii) perpetual mutual non-disparagement, (iii) perpetual non-disclosure of confidential information and (iv) assignment of intellectual property.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Programs Following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consummation of this offering, the Board has adopted, and our shareholders have approved, the 2025 Omnibus Incentive Plan (the 2025 Plan), pursuant to which employees, consultants and directors of our company and our affiliates performing services for us, including our executive officers,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receive awards. The 2025 Plan provides for the grant of share options, share appreciation rights, restricted shares, restricted share units, bonus shares, dividend equivalents, other share-based awards, substitute awards, annual incentive awards and performance awards intended to align the interests of participants with those of our shareholders. The following description of the 2025 Plan is qualified in its entirety by reference to the 2025 Plan, a copy of which in substantially final form is filed as an exhibit to the registration statement of which this prospectus is a part. </w:t>
      </w:r>
    </w:p>
    <w:p>
      <w:pPr>
        <w:pStyle w:val="TextBody"/>
        <w:bidi w:val="0"/>
        <w:spacing w:before="240" w:after="0"/>
        <w:jc w:val="left"/>
        <w:rPr>
          <w:rFonts w:ascii="Times New Roman" w:hAnsi="Times New Roman"/>
          <w:b/>
          <w:i/>
          <w:sz w:val="20"/>
        </w:rPr>
      </w:pPr>
      <w:r>
        <w:rPr>
          <w:rFonts w:ascii="Times New Roman" w:hAnsi="Times New Roman"/>
          <w:b/>
          <w:i/>
          <w:sz w:val="20"/>
        </w:rPr>
        <w:t xml:space="preserve">Summary of the 2025 Omnibus Incentive Plan </w:t>
      </w:r>
    </w:p>
    <w:p>
      <w:pPr>
        <w:pStyle w:val="TextBody"/>
        <w:bidi w:val="0"/>
        <w:spacing w:before="240" w:after="0"/>
        <w:jc w:val="left"/>
        <w:rPr>
          <w:rFonts w:ascii="Times New Roman" w:hAnsi="Times New Roman"/>
          <w:i/>
          <w:sz w:val="20"/>
        </w:rPr>
      </w:pPr>
      <w:r>
        <w:rPr>
          <w:rFonts w:ascii="Times New Roman" w:hAnsi="Times New Roman"/>
          <w:i/>
          <w:sz w:val="20"/>
        </w:rPr>
        <w:t xml:space="preserve">Share 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approval by the Board and adoption by our shareholders, we have reserved common shares for issuance under the 2025 Plan. In addition, the following common shares will again be available for grant or issuance under the 2025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subject to awards granted under the 2025 Plan that are subsequently forfeited or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subject to awards granted under the 2025 Plan that otherwise terminate without shares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surrendered, cancelled or exchanged for cash;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surrendered to pay the exercise price or withholding taxes associated with the award.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240" w:after="0"/>
        <w:jc w:val="left"/>
        <w:rPr>
          <w:rFonts w:ascii="Times New Roman" w:hAnsi="Times New Roman"/>
          <w:sz w:val="20"/>
        </w:rPr>
      </w:pPr>
      <w:r>
        <w:rPr>
          <w:rFonts w:ascii="Times New Roman" w:hAnsi="Times New Roman"/>
          <w:sz w:val="20"/>
        </w:rPr>
        <w:t xml:space="preserve">The 2025 Plan will be administered by our Compensation Committee. The Compensation Committee has the authority to construe and interpret the 2025 Plan, grant awards and make all other determinations necessary or advisable for the administration of the 2025 Plan. Awards under the 2025 Plan may be made subject to performance conditions and other terms. </w:t>
      </w:r>
    </w:p>
    <w:p>
      <w:pPr>
        <w:pStyle w:val="TextBody"/>
        <w:bidi w:val="0"/>
        <w:spacing w:before="24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240" w:after="0"/>
        <w:jc w:val="left"/>
        <w:rPr>
          <w:rFonts w:ascii="Times New Roman" w:hAnsi="Times New Roman"/>
          <w:sz w:val="20"/>
        </w:rPr>
      </w:pPr>
      <w:r>
        <w:rPr>
          <w:rFonts w:ascii="Times New Roman" w:hAnsi="Times New Roman"/>
          <w:sz w:val="20"/>
        </w:rPr>
        <w:t xml:space="preserve">Our employees, consultants and directors, and the employees, consultants and directors of our affiliates, will be eligible to receive awards under the 2025 Plan. The Compensation Committee will determine who will receive awards and the terms and conditions associated with such awards. </w:t>
      </w:r>
    </w:p>
    <w:p>
      <w:pPr>
        <w:pStyle w:val="TextBody"/>
        <w:bidi w:val="0"/>
        <w:spacing w:before="240" w:after="0"/>
        <w:jc w:val="left"/>
        <w:rPr>
          <w:rFonts w:ascii="Times New Roman" w:hAnsi="Times New Roman"/>
          <w:i/>
          <w:sz w:val="20"/>
        </w:rPr>
      </w:pPr>
      <w:r>
        <w:rPr>
          <w:rFonts w:ascii="Times New Roman" w:hAnsi="Times New Roman"/>
          <w:i/>
          <w:sz w:val="20"/>
        </w:rPr>
        <w:t xml:space="preserve">Term </w:t>
      </w:r>
    </w:p>
    <w:p>
      <w:pPr>
        <w:pStyle w:val="TextBody"/>
        <w:bidi w:val="0"/>
        <w:spacing w:before="240" w:after="0"/>
        <w:jc w:val="left"/>
        <w:rPr>
          <w:rFonts w:ascii="Times New Roman" w:hAnsi="Times New Roman"/>
          <w:sz w:val="20"/>
        </w:rPr>
      </w:pPr>
      <w:r>
        <w:rPr>
          <w:rFonts w:ascii="Times New Roman" w:hAnsi="Times New Roman"/>
          <w:sz w:val="20"/>
        </w:rPr>
        <w:t xml:space="preserve">The 2025 Plan will terminate 10 years from the date our Board approved the plan, unless it is terminated earlier by our Board. </w:t>
      </w:r>
    </w:p>
    <w:p>
      <w:pPr>
        <w:pStyle w:val="TextBody"/>
        <w:bidi w:val="0"/>
        <w:spacing w:before="240" w:after="0"/>
        <w:jc w:val="left"/>
        <w:rPr>
          <w:rFonts w:ascii="Times New Roman" w:hAnsi="Times New Roman"/>
          <w:i/>
          <w:sz w:val="20"/>
        </w:rPr>
      </w:pPr>
      <w:r>
        <w:rPr>
          <w:rFonts w:ascii="Times New Roman" w:hAnsi="Times New Roman"/>
          <w:i/>
          <w:sz w:val="20"/>
        </w:rPr>
        <w:t xml:space="preserve">Award Forms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2025 Plan authorizes the award of share awards, performance awards and other cash-based awards. An aggregate of 12,890,000 common shares (which number of common shares will be subject to adjustment depending on the number of shares offered in this offering) are expected to be available for issuance under awards granted pursuant to the 2025 Plan. For share options that are intended to qualify as incentive stock options (ISOs) under Section 422 of the Code, the maximum number of shares subject to ISO awards is expected to be 12,890,000 common shares (which number of common shares will be subject to adjustment depending on the number of shares offered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Share Options </w:t>
      </w:r>
    </w:p>
    <w:p>
      <w:pPr>
        <w:pStyle w:val="TextBody"/>
        <w:bidi w:val="0"/>
        <w:spacing w:before="240" w:after="0"/>
        <w:jc w:val="left"/>
        <w:rPr>
          <w:rFonts w:ascii="Times New Roman" w:hAnsi="Times New Roman"/>
          <w:sz w:val="20"/>
        </w:rPr>
      </w:pPr>
      <w:r>
        <w:rPr>
          <w:rFonts w:ascii="Times New Roman" w:hAnsi="Times New Roman"/>
          <w:sz w:val="20"/>
        </w:rPr>
        <w:t xml:space="preserve">The 2025 Plan provides for the grant of ISOs only to our employees. Nonqualified stock options may be granted to our employees, directors and consultants. The exercise price of each option to purchase ordinary shares must be at least equal to the fair market value of our common shares on the date of grant. The exercise price of ISOs granted to 10% or more shareholders must be at least equal to 110% of that value. Options granted under the 2025 Plan may be exercisable at such times and subject to such terms and conditions as the Compensation Committee determines. The maximum term of options granted under the 2025 Plan is 10 years (five years in the case of ISOs granted to 10% or more shareholders). </w:t>
      </w:r>
    </w:p>
    <w:p>
      <w:pPr>
        <w:pStyle w:val="TextBody"/>
        <w:bidi w:val="0"/>
        <w:spacing w:before="240" w:after="0"/>
        <w:jc w:val="left"/>
        <w:rPr>
          <w:rFonts w:ascii="Times New Roman" w:hAnsi="Times New Roman"/>
          <w:i/>
          <w:sz w:val="20"/>
        </w:rPr>
      </w:pPr>
      <w:r>
        <w:rPr>
          <w:rFonts w:ascii="Times New Roman" w:hAnsi="Times New Roman"/>
          <w:i/>
          <w:sz w:val="20"/>
        </w:rPr>
        <w:t xml:space="preserve">Share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Share appreciation rights provide for a payment, or payments, in cash or common shares, to the holder based upon the difference between the fair market value of our common shares on the date of exercise and the stated exercise price of the share appreciation right. The exercise price must be at least equal to the fair market value of our common shares on the date the share appreciation right is granted. Share appreciation rights may vest based on time or achievement of performance conditions, as determined by the Compensation Committee in its discretion. </w:t>
      </w:r>
    </w:p>
    <w:p>
      <w:pPr>
        <w:pStyle w:val="TextBody"/>
        <w:bidi w:val="0"/>
        <w:spacing w:before="240" w:after="0"/>
        <w:jc w:val="left"/>
        <w:rPr>
          <w:rFonts w:ascii="Times New Roman" w:hAnsi="Times New Roman"/>
          <w:i/>
          <w:sz w:val="20"/>
        </w:rPr>
      </w:pPr>
      <w:r>
        <w:rPr>
          <w:rFonts w:ascii="Times New Roman" w:hAnsi="Times New Roman"/>
          <w:i/>
          <w:sz w:val="20"/>
        </w:rPr>
        <w:t xml:space="preserve">Restricted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may grant awards consisting of common shares subject to restrictions on sale and transfer. The price (if any) paid by a participant for a restricted share award will be determined by the Compensation Committee. Unless otherwise determined by the Compensation Committee at the time of award, vesting will cease on the date the participant no longer provides services to us and unvested shares will be forfeited to or repurchased by us. The Compensation Committee may condition the grant or vesting of restricted shares on the achievement of performance conditions and/or the satisfaction of a time-based vesting schedule. </w:t>
      </w:r>
    </w:p>
    <w:p>
      <w:pPr>
        <w:pStyle w:val="TextBody"/>
        <w:bidi w:val="0"/>
        <w:spacing w:before="240" w:after="0"/>
        <w:jc w:val="left"/>
        <w:rPr>
          <w:rFonts w:ascii="Times New Roman" w:hAnsi="Times New Roman"/>
          <w:i/>
          <w:sz w:val="20"/>
        </w:rPr>
      </w:pPr>
      <w:r>
        <w:rPr>
          <w:rFonts w:ascii="Times New Roman" w:hAnsi="Times New Roman"/>
          <w:i/>
          <w:sz w:val="20"/>
        </w:rPr>
        <w:t xml:space="preserve">Performance Awards </w:t>
      </w:r>
    </w:p>
    <w:p>
      <w:pPr>
        <w:pStyle w:val="TextBody"/>
        <w:bidi w:val="0"/>
        <w:spacing w:before="240" w:after="0"/>
        <w:jc w:val="left"/>
        <w:rPr>
          <w:rFonts w:ascii="Times New Roman" w:hAnsi="Times New Roman"/>
          <w:sz w:val="20"/>
        </w:rPr>
      </w:pPr>
      <w:r>
        <w:rPr>
          <w:rFonts w:ascii="Times New Roman" w:hAnsi="Times New Roman"/>
          <w:sz w:val="20"/>
        </w:rPr>
        <w:t xml:space="preserve">A performance award is an award that becomes payable upon the attainment of specific performance goals. A performance award may become payable in cash or in common shares. These awards are subject to forfeiture prior to settlement due to termination of a participants employment or failure to achieve the performance conditions. </w:t>
      </w:r>
    </w:p>
    <w:p>
      <w:pPr>
        <w:pStyle w:val="TextBody"/>
        <w:bidi w:val="0"/>
        <w:spacing w:before="240" w:after="0"/>
        <w:jc w:val="left"/>
        <w:rPr>
          <w:rFonts w:ascii="Times New Roman" w:hAnsi="Times New Roman"/>
          <w:i/>
          <w:sz w:val="20"/>
        </w:rPr>
      </w:pPr>
      <w:r>
        <w:rPr>
          <w:rFonts w:ascii="Times New Roman" w:hAnsi="Times New Roman"/>
          <w:i/>
          <w:sz w:val="20"/>
        </w:rPr>
        <w:t xml:space="preserve">Other Cash-Based Awards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may grant other cash-based awards to participants in amounts and on terms and conditions determined by them in their discretion. Cash-based awards may be granted subject to vesting conditions or awarded without being subject to conditions or restrictions. </w:t>
      </w:r>
    </w:p>
    <w:p>
      <w:pPr>
        <w:pStyle w:val="TextBody"/>
        <w:bidi w:val="0"/>
        <w:spacing w:before="240" w:after="0"/>
        <w:jc w:val="left"/>
        <w:rPr>
          <w:rFonts w:ascii="Times New Roman" w:hAnsi="Times New Roman"/>
          <w:i/>
          <w:sz w:val="20"/>
        </w:rPr>
      </w:pPr>
      <w:r>
        <w:rPr>
          <w:rFonts w:ascii="Times New Roman" w:hAnsi="Times New Roman"/>
          <w:i/>
          <w:sz w:val="20"/>
        </w:rPr>
        <w:t xml:space="preserve">Additional Provisions </w:t>
      </w:r>
    </w:p>
    <w:p>
      <w:pPr>
        <w:pStyle w:val="TextBody"/>
        <w:bidi w:val="0"/>
        <w:spacing w:before="240" w:after="0"/>
        <w:jc w:val="left"/>
        <w:rPr>
          <w:rFonts w:ascii="Times New Roman" w:hAnsi="Times New Roman"/>
          <w:sz w:val="20"/>
        </w:rPr>
      </w:pPr>
      <w:r>
        <w:rPr>
          <w:rFonts w:ascii="Times New Roman" w:hAnsi="Times New Roman"/>
          <w:sz w:val="20"/>
        </w:rPr>
        <w:t xml:space="preserve">Awards granted under the 2025 Plan may not be transferred in any manner other than by will or by the laws of descent and distribution, or as determined by the Compensation Committee. Unless otherwise restricted by our Compensation Committee, awards that are non-ISOs or SARs may be exercised during the lifetime of the participant only by the participant, the participants guardian or legal representative or a family member of the participant who has acquired the non-ISOs or SARs by a permitted transfer. Awards that are ISOs may be exercised during the lifetime of the participant only by the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of control (as defined in the 2025 Plan), the Compensation Committee may, in its discretion, provide for any or all of the following actions: (i) awards may be continued, assumed or substituted with new rights, (ii) awards may be purchased for cash equal to the excess (if any) of the price per common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 in the change in control transaction over the aggregate exercise price of such awards, (iii) outstanding and unexercised share options and share appreciation rights may be terminated prior to the change in control (in which case holders of such unvested awards would be given notice and the opportunity to exercise such awards), or (iv) vesting or lapse of restrictions may be accelerated. All awards will be equitably adjusted in the case of the division of shares and similar transactions. </w:t>
      </w:r>
    </w:p>
    <w:p>
      <w:pPr>
        <w:pStyle w:val="TextBody"/>
        <w:bidi w:val="0"/>
        <w:spacing w:before="240" w:after="0"/>
        <w:jc w:val="left"/>
        <w:rPr>
          <w:rFonts w:ascii="Times New Roman" w:hAnsi="Times New Roman"/>
          <w:i/>
          <w:sz w:val="20"/>
        </w:rPr>
      </w:pPr>
      <w:r>
        <w:rPr>
          <w:rFonts w:ascii="Times New Roman" w:hAnsi="Times New Roman"/>
          <w:i/>
          <w:sz w:val="20"/>
        </w:rPr>
        <w:t xml:space="preserve">Grants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pricing of this offering, our Board of Directors made a one-time grant of stock options to our NEOs and certain other employees. The options granted will typically vest over two years, with an initial one-year cliff and monthly vesting thereafter, except that sixty percent of the options granted to our Chief Executive Officer and to our General Counsel and Chief Administrative Officer will be fully vested upon grant, in each case generally subject to the holders continued employment through the applicable vesting date and the terms and conditions of the relevant award agreement. Each stock option granted as of the pricing of this offering has an exercise price equal to the initial public offering price in this offering. The number of options to be granted is as follows: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2975"/>
        <w:gridCol w:w="700"/>
        <w:gridCol w:w="107"/>
        <w:gridCol w:w="1768"/>
        <w:gridCol w:w="62"/>
      </w:tblGrid>
      <w:tr>
        <w:trPr/>
        <w:tc>
          <w:tcPr>
            <w:tcW w:w="2975" w:type="dxa"/>
            <w:tcBorders/>
            <w:vAlign w:val="center"/>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Option Recipient</w:t>
            </w:r>
          </w:p>
        </w:tc>
        <w:tc>
          <w:tcPr>
            <w:tcW w:w="700" w:type="dxa"/>
            <w:tcBorders/>
            <w:vAlign w:val="bottom"/>
          </w:tcPr>
          <w:p>
            <w:pPr>
              <w:pStyle w:val="TableContents"/>
              <w:bidi w:val="0"/>
              <w:spacing w:before="0" w:after="283"/>
              <w:jc w:val="left"/>
              <w:rPr/>
            </w:pPr>
            <w:r>
              <w:rPr/>
              <w:t> </w:t>
            </w:r>
          </w:p>
        </w:tc>
        <w:tc>
          <w:tcPr>
            <w:tcW w:w="187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 of Stock Options</w:t>
            </w:r>
          </w:p>
        </w:tc>
        <w:tc>
          <w:tcPr>
            <w:tcW w:w="62"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Webster</w:t>
            </w:r>
          </w:p>
        </w:tc>
        <w:tc>
          <w:tcPr>
            <w:tcW w:w="70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1,780,000</w:t>
            </w:r>
          </w:p>
        </w:tc>
        <w:tc>
          <w:tcPr>
            <w:tcW w:w="62"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Vaseem Mahboob</w:t>
            </w:r>
          </w:p>
        </w:tc>
        <w:tc>
          <w:tcPr>
            <w:tcW w:w="70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159,000</w:t>
            </w:r>
          </w:p>
        </w:tc>
        <w:tc>
          <w:tcPr>
            <w:tcW w:w="62"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Traci Umberger</w:t>
            </w:r>
          </w:p>
        </w:tc>
        <w:tc>
          <w:tcPr>
            <w:tcW w:w="70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541,000</w:t>
            </w:r>
          </w:p>
        </w:tc>
        <w:tc>
          <w:tcPr>
            <w:tcW w:w="62"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Al Ford</w:t>
            </w:r>
          </w:p>
        </w:tc>
        <w:tc>
          <w:tcPr>
            <w:tcW w:w="70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118,000</w:t>
            </w:r>
          </w:p>
        </w:tc>
        <w:tc>
          <w:tcPr>
            <w:tcW w:w="62"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employees in the aggregate</w:t>
            </w:r>
          </w:p>
        </w:tc>
        <w:tc>
          <w:tcPr>
            <w:tcW w:w="70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2,046,400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Changes to Employment Agreements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this offering, we will increase the base salary of our NEOs. Each of our NEOs base salary will be increased as follows: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2917"/>
        <w:gridCol w:w="581"/>
        <w:gridCol w:w="295"/>
        <w:gridCol w:w="1756"/>
        <w:gridCol w:w="63"/>
      </w:tblGrid>
      <w:tr>
        <w:trPr/>
        <w:tc>
          <w:tcPr>
            <w:tcW w:w="2917"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17"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581" w:type="dxa"/>
            <w:tcBorders/>
            <w:vAlign w:val="bottom"/>
          </w:tcPr>
          <w:p>
            <w:pPr>
              <w:pStyle w:val="TableContents"/>
              <w:bidi w:val="0"/>
              <w:spacing w:before="0" w:after="283"/>
              <w:jc w:val="left"/>
              <w:rPr/>
            </w:pPr>
            <w:r>
              <w:rPr/>
              <w:t> </w:t>
            </w:r>
          </w:p>
        </w:tc>
        <w:tc>
          <w:tcPr>
            <w:tcW w:w="2051"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Base Salary Upon Offering</w:t>
            </w:r>
          </w:p>
        </w:tc>
        <w:tc>
          <w:tcPr>
            <w:tcW w:w="63" w:type="dxa"/>
            <w:tcBorders/>
            <w:vAlign w:val="bottom"/>
          </w:tcPr>
          <w:p>
            <w:pPr>
              <w:pStyle w:val="TableContents"/>
              <w:bidi w:val="0"/>
              <w:spacing w:before="0" w:after="283"/>
              <w:jc w:val="left"/>
              <w:rPr/>
            </w:pPr>
            <w:r>
              <w:rPr/>
              <w:t> </w:t>
            </w:r>
          </w:p>
        </w:tc>
      </w:tr>
      <w:tr>
        <w:trPr/>
        <w:tc>
          <w:tcPr>
            <w:tcW w:w="2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Webster</w:t>
            </w:r>
          </w:p>
        </w:tc>
        <w:tc>
          <w:tcPr>
            <w:tcW w:w="581"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756" w:type="dxa"/>
            <w:tcBorders/>
            <w:shd w:fill="CCEEFF" w:val="clear"/>
            <w:vAlign w:val="bottom"/>
          </w:tcPr>
          <w:p>
            <w:pPr>
              <w:pStyle w:val="TableContents"/>
              <w:bidi w:val="0"/>
              <w:spacing w:before="0" w:after="283"/>
              <w:jc w:val="right"/>
              <w:rPr/>
            </w:pPr>
            <w:r>
              <w:rPr/>
              <w:t>765,000</w:t>
            </w:r>
          </w:p>
        </w:tc>
        <w:tc>
          <w:tcPr>
            <w:tcW w:w="63" w:type="dxa"/>
            <w:tcBorders/>
            <w:shd w:fill="CCEEFF" w:val="clear"/>
            <w:vAlign w:val="bottom"/>
          </w:tcPr>
          <w:p>
            <w:pPr>
              <w:pStyle w:val="TableContents"/>
              <w:bidi w:val="0"/>
              <w:spacing w:before="0" w:after="283"/>
              <w:jc w:val="left"/>
              <w:rPr/>
            </w:pPr>
            <w:r>
              <w:rPr/>
              <w:t> </w:t>
            </w:r>
          </w:p>
        </w:tc>
      </w:tr>
      <w:tr>
        <w:trPr/>
        <w:tc>
          <w:tcPr>
            <w:tcW w:w="2917" w:type="dxa"/>
            <w:tcBorders/>
          </w:tcPr>
          <w:p>
            <w:pPr>
              <w:pStyle w:val="TableContents"/>
              <w:bidi w:val="0"/>
              <w:spacing w:before="0" w:after="0"/>
              <w:jc w:val="left"/>
              <w:rPr>
                <w:rFonts w:ascii="Times New Roman" w:hAnsi="Times New Roman"/>
                <w:sz w:val="20"/>
              </w:rPr>
            </w:pPr>
            <w:r>
              <w:rPr>
                <w:rFonts w:ascii="Times New Roman" w:hAnsi="Times New Roman"/>
                <w:sz w:val="20"/>
              </w:rPr>
              <w:t>Vaseem Mahboob</w:t>
            </w:r>
          </w:p>
        </w:tc>
        <w:tc>
          <w:tcPr>
            <w:tcW w:w="581"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756" w:type="dxa"/>
            <w:tcBorders/>
            <w:vAlign w:val="bottom"/>
          </w:tcPr>
          <w:p>
            <w:pPr>
              <w:pStyle w:val="TableContents"/>
              <w:bidi w:val="0"/>
              <w:spacing w:before="0" w:after="283"/>
              <w:jc w:val="right"/>
              <w:rPr/>
            </w:pPr>
            <w:r>
              <w:rPr/>
              <w:t>470,000</w:t>
            </w:r>
          </w:p>
        </w:tc>
        <w:tc>
          <w:tcPr>
            <w:tcW w:w="63" w:type="dxa"/>
            <w:tcBorders/>
            <w:vAlign w:val="bottom"/>
          </w:tcPr>
          <w:p>
            <w:pPr>
              <w:pStyle w:val="TableContents"/>
              <w:bidi w:val="0"/>
              <w:spacing w:before="0" w:after="283"/>
              <w:jc w:val="left"/>
              <w:rPr/>
            </w:pPr>
            <w:r>
              <w:rPr/>
              <w:t> </w:t>
            </w:r>
          </w:p>
        </w:tc>
      </w:tr>
      <w:tr>
        <w:trPr/>
        <w:tc>
          <w:tcPr>
            <w:tcW w:w="2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Traci Umberger</w:t>
            </w:r>
          </w:p>
        </w:tc>
        <w:tc>
          <w:tcPr>
            <w:tcW w:w="581"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756" w:type="dxa"/>
            <w:tcBorders/>
            <w:shd w:fill="CCEEFF" w:val="clear"/>
            <w:vAlign w:val="bottom"/>
          </w:tcPr>
          <w:p>
            <w:pPr>
              <w:pStyle w:val="TableContents"/>
              <w:bidi w:val="0"/>
              <w:spacing w:before="0" w:after="283"/>
              <w:jc w:val="right"/>
              <w:rPr/>
            </w:pPr>
            <w:r>
              <w:rPr/>
              <w:t>500,000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Companys non-employee directors (which included Mr. Gordon, Mr. Schwartz, Ms. Mishan and Mr. Chilazi) received compensation in respect of their service on the Board for fiscal year 2024. </w:t>
      </w:r>
    </w:p>
    <w:p>
      <w:pPr>
        <w:pStyle w:val="TextBody"/>
        <w:bidi w:val="0"/>
        <w:spacing w:before="240" w:after="0"/>
        <w:jc w:val="left"/>
        <w:rPr>
          <w:rFonts w:ascii="Times New Roman" w:hAnsi="Times New Roman"/>
          <w:sz w:val="20"/>
        </w:rPr>
      </w:pPr>
      <w:r>
        <w:rPr>
          <w:rFonts w:ascii="Times New Roman" w:hAnsi="Times New Roman"/>
          <w:sz w:val="20"/>
        </w:rPr>
        <w:t xml:space="preserve">Following the 2024 fiscal year in November 2024, Ms. Mishan entered into an individual director compensation agreement under which she is entitled to receive (i) a $40,000 annual cash retainer for her service as a member of the Board, and (ii) an initial grant of 10,224.95 incentive units (in the form of Class A Common Units) intended to qualify as profits interests for federal income tax purposes. This award also vests in three equal installments on the three anniversaries following the date of grant, subject to Ms. Mishans continued service through each applicable vesting date. All unvested incentive units subject to the award accelerate and vest upon the occurrence of a Sale of the Partnership (as defined in the Partnership Agreement). The director compensation agreement also subjects Ms. Mishan to the following restrictive covenants: (i) non-competition (for the longer of (a) 12 months or (b) through such period that severance is being paid by West Affum Holdings, L.P. or its affiliates to the director); (ii) non-solicitation and non-hire of employees or service providers of West Affum Holdings, L.P., in each case, while the director is providing services and for one year following termination; (iii) perpetual non-disparagement; and (iv) perpetual non-disclosure of confidential information. Ms. Mishan resigned from the Board on February 10,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Director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we did not have any nonemployee directors who received compensation for their service on our board of directors and committees of our board of directors during 2024.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2892"/>
        <w:gridCol w:w="538"/>
        <w:gridCol w:w="326"/>
        <w:gridCol w:w="774"/>
        <w:gridCol w:w="60"/>
        <w:gridCol w:w="538"/>
        <w:gridCol w:w="123"/>
        <w:gridCol w:w="296"/>
        <w:gridCol w:w="65"/>
      </w:tblGrid>
      <w:tr>
        <w:trPr/>
        <w:tc>
          <w:tcPr>
            <w:tcW w:w="2892"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92"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Name</w:t>
            </w:r>
          </w:p>
        </w:tc>
        <w:tc>
          <w:tcPr>
            <w:tcW w:w="538"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Fees earned or</w:t>
              <w:br/>
              <w:t>paid in cash</w:t>
              <w:br/>
              <w:t>($)</w:t>
            </w:r>
          </w:p>
        </w:tc>
        <w:tc>
          <w:tcPr>
            <w:tcW w:w="60"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41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Total</w:t>
              <w:br/>
              <w:t>($)</w:t>
            </w:r>
          </w:p>
        </w:tc>
        <w:tc>
          <w:tcPr>
            <w:tcW w:w="65"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Gordon</w:t>
            </w:r>
          </w:p>
        </w:tc>
        <w:tc>
          <w:tcPr>
            <w:tcW w:w="538"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Jeffrey Schwartz</w:t>
            </w:r>
          </w:p>
        </w:tc>
        <w:tc>
          <w:tcPr>
            <w:tcW w:w="53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Orly Mishan (1)</w:t>
            </w:r>
          </w:p>
        </w:tc>
        <w:tc>
          <w:tcPr>
            <w:tcW w:w="538"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JP Chilazi (1)</w:t>
            </w:r>
          </w:p>
        </w:tc>
        <w:tc>
          <w:tcPr>
            <w:tcW w:w="53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Mishan resigned from the Board on February 10, 2025 and Mr. Chilazi resigned from the Board on February 4,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consummation of the offering, the Board has approved a director compensation policy for non-employee directors and executive directors of the company. Under the policy, the non-executive chair of the Board will receive an annual retainer in the amount of $120,000, each other non-employee director will receive an annual retainer of $60,000 and each executive director will receive an annual retainer of $50,000.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annual fees, non-employee directors serving on standing committees of the Board will be paid as follows: an additional $12,000 for Audit Committee members (or $25,000 for the Chair of the Audit Committee); an additional $9,000 for Compensation Committee members (or $18,000 for the Chair of the Compensation Committee); and an additional $6,000 for Governance Committee members (or $12,000 for the Chair of the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fees above, each non-employee director who (i) serves on the Board as of the date of the annual meeting of the stockholders and (ii) will continue to serve as a non-employee director immediately following such annual meeting will receive annual grant of restricted stock units pursuant to the 2025 Plan with a grant date value equal to $185,000 with one-year cliff vesting. Upon a termination of a non-employee directors service on the Board for any reason, all unvested RSUs will be forfeited. </w:t>
      </w:r>
    </w:p>
    <w:p>
      <w:pPr>
        <w:pStyle w:val="TextBody"/>
        <w:bidi w:val="0"/>
        <w:spacing w:before="240" w:after="0"/>
        <w:jc w:val="left"/>
        <w:rPr>
          <w:rFonts w:ascii="Times New Roman" w:hAnsi="Times New Roman"/>
          <w:sz w:val="20"/>
        </w:rPr>
      </w:pPr>
      <w:r>
        <w:rPr>
          <w:rFonts w:ascii="Times New Roman" w:hAnsi="Times New Roman"/>
          <w:sz w:val="20"/>
        </w:rPr>
        <w:t xml:space="preserve">Our directors will be reimbursed for travel, food, lodging and other expenses directly related to their activities as directors. Our directors are also entitled to the protection provided by the indemnification provisions in our amended and restated bye-laws to be in effect upon the closing of this offering. Our board of directors may revise the compensation arrangements for our directors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rom744414_13"/>
      <w:bookmarkEnd w:id="15"/>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i/>
          <w:sz w:val="20"/>
        </w:rPr>
      </w:pPr>
      <w:r>
        <w:rPr>
          <w:rFonts w:ascii="Times New Roman" w:hAnsi="Times New Roman"/>
          <w:i/>
          <w:sz w:val="20"/>
        </w:rPr>
        <w:t xml:space="preserve">Certain agreements described in this section, or forms of such agreements as they will be in effect at the time of this offering, are filed as exhibits to the registration statement of which this prospectus forms a part, and the following descriptions are qualified by reference thereto.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transactions, other than compensation arrangements, since May 1, 2022 to which we have been a participant or will be a participant and in which (1) the amount involved exceeded or will exceed $120,000 and (2) any of our directors, executive officers or holders of more than 5% of our share capital, or any members of their immediate family, had or will have a direct or indirect material interest. </w:t>
      </w:r>
    </w:p>
    <w:p>
      <w:pPr>
        <w:pStyle w:val="TextBody"/>
        <w:bidi w:val="0"/>
        <w:spacing w:before="240" w:after="0"/>
        <w:jc w:val="left"/>
        <w:rPr>
          <w:rFonts w:ascii="Times New Roman" w:hAnsi="Times New Roman"/>
          <w:b/>
          <w:sz w:val="20"/>
        </w:rPr>
      </w:pPr>
      <w:r>
        <w:rPr>
          <w:rFonts w:ascii="Times New Roman" w:hAnsi="Times New Roman"/>
          <w:b/>
          <w:sz w:val="20"/>
        </w:rPr>
        <w:t xml:space="preserve">Organizational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Organizational Transactions, West Affum Holdings, L.P. will deliver our common shares to existing holders of Class A common units and incentive units in West Affum Holdings, L.P. in exchange for such holders units as described in the section titled Organizational Transactions included elsewhere in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West Affum Holdings, L.P. intends to assign, and we intend to assume, all rights and obligations of West Affum Holdings, L.P. under a registration rights agreement (the Registration Rights Agreement) with certain of our beneficial shareholders, including Bain Charger. The Registration Rights Agreement provides such shareholders certain rights with respect to the registration of our common shares under the Securities Act that may be exercised at any time following this offering and the expiration of any related lock-up period. </w:t>
      </w:r>
    </w:p>
    <w:p>
      <w:pPr>
        <w:pStyle w:val="TextBody"/>
        <w:bidi w:val="0"/>
        <w:spacing w:before="240" w:after="0"/>
        <w:jc w:val="left"/>
        <w:rPr>
          <w:rFonts w:ascii="Times New Roman" w:hAnsi="Times New Roman"/>
          <w:b/>
          <w:sz w:val="20"/>
        </w:rPr>
      </w:pPr>
      <w:r>
        <w:rPr>
          <w:rFonts w:ascii="Times New Roman" w:hAnsi="Times New Roman"/>
          <w:b/>
          <w:sz w:val="20"/>
        </w:rPr>
        <w:t xml:space="preserve">Certain Relationships </w:t>
      </w:r>
    </w:p>
    <w:p>
      <w:pPr>
        <w:pStyle w:val="TextBody"/>
        <w:bidi w:val="0"/>
        <w:spacing w:before="240" w:after="0"/>
        <w:jc w:val="left"/>
        <w:rPr>
          <w:rFonts w:ascii="Times New Roman" w:hAnsi="Times New Roman"/>
          <w:sz w:val="20"/>
        </w:rPr>
      </w:pPr>
      <w:r>
        <w:rPr>
          <w:rFonts w:ascii="Times New Roman" w:hAnsi="Times New Roman"/>
          <w:sz w:val="20"/>
        </w:rPr>
        <w:t xml:space="preserve">Affiliates of Bain Capital have ownership interests in a broad range of companies. From time to time, we collaborate with Bain Capital and/or its affiliates to source and outsource certain goods and services and enter into other commercial transactions in the ordinary course of our business. We believe that all such arrangements have been entered into in the ordinary course of business and have been negotiated on commercially reasonable terms. </w:t>
      </w:r>
    </w:p>
    <w:p>
      <w:pPr>
        <w:pStyle w:val="TextBody"/>
        <w:bidi w:val="0"/>
        <w:spacing w:before="24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will enter into indemnification agreements with each of our directors and executive officers, among others. These indemnification agreements will provide the directors and executive officers with contractual rights to indemnification to the fullest extent permitted by applicable law, subject to certain exceptions and procedures. See the section titled Description of Share CapitalIndemnification of Directors and Officers for additional information regarding indemnification under Bermuda law and our amended and restated bye-laws to be in effect upon the closing of this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Reserved Share Program </w:t>
      </w:r>
    </w:p>
    <w:p>
      <w:pPr>
        <w:pStyle w:val="TextBody"/>
        <w:bidi w:val="0"/>
        <w:spacing w:before="240" w:after="0"/>
        <w:jc w:val="left"/>
        <w:rPr>
          <w:rFonts w:ascii="Times New Roman" w:hAnsi="Times New Roman"/>
          <w:sz w:val="20"/>
        </w:rPr>
      </w:pPr>
      <w:r>
        <w:rPr>
          <w:rFonts w:ascii="Times New Roman" w:hAnsi="Times New Roman"/>
          <w:sz w:val="20"/>
        </w:rPr>
        <w:t xml:space="preserve">At our request, the underwriters have reserved up to 5% of the common shares offered hereby, for sale at the initial public offering price to our officers, directors, team members and certain of their friends or family. See UnderwritingReserved Shares. </w:t>
      </w:r>
    </w:p>
    <w:p>
      <w:pPr>
        <w:pStyle w:val="TextBody"/>
        <w:bidi w:val="0"/>
        <w:spacing w:before="240" w:after="0"/>
        <w:jc w:val="left"/>
        <w:rPr>
          <w:rFonts w:ascii="Times New Roman" w:hAnsi="Times New Roman"/>
          <w:b/>
          <w:sz w:val="20"/>
        </w:rPr>
      </w:pPr>
      <w:r>
        <w:rPr>
          <w:rFonts w:ascii="Times New Roman" w:hAnsi="Times New Roman"/>
          <w:b/>
          <w:sz w:val="20"/>
        </w:rPr>
        <w:t xml:space="preserve">Related Party Transactions Policy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adopt a policy, effective upon the completion of this offering, that our executive officers, directors, nominees for election as a director, beneficial owners of more than 5% of any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our common shares and any members of the immediate family of any of the foregoing persons are not permitted to enter into a related person transaction with us without the prior consent of our audit committee. Any request for us to enter into a transaction with an executive officer, director, nominee for election as a director, beneficial owner of more than 5% of any class of our common shares or any member of the immediate family of any of the foregoing persons in which the amount involved exceeds $120,000 and such person would have a direct or indirect interest must first be presented to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did not have a formal review and approval policy for related party transactions at the time of any of the transactions described above. However, all of the transactions described above were entered into after presentation, consideration and approval by our Board of Directors and/or our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744414_14"/>
      <w:bookmarkEnd w:id="16"/>
      <w:r>
        <w:rPr>
          <w:rFonts w:ascii="Times New Roman" w:hAnsi="Times New Roman"/>
          <w:b/>
          <w:sz w:val="20"/>
        </w:rPr>
        <w:t xml:space="preserve">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shares as of October 31, 2024, and as adjusted to reflect the sale of common shares offered by us in this offering,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us to beneficially own more than 5%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current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regarding shares beneficially owned before this offering is based on the partnership interests in West Affum Holdings, L.P. held by the persons named herein immediately before this offering and gives pro forma effect to the Organizational Transactions and the effectiveness of our amended and restated bye-laws to be in effect upon the closing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information before the offering is based upon 37,651,467 common shares issued as of October 31, 2024, after giving pro forma effect to the Organizational Transactions and the effectiveness of our amended and restated bye-laws to be in effect upon the closing of this offering. Each shareholders percentage ownership after the offering is based on common shares issued immediately after the completion of this offering. We have also granted the underwriters an over-allotment option to purchase up to 1,782,352 additional common shares. </w:t>
      </w:r>
    </w:p>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shares subject to options that are currently exercisable or exercisable within 60 days of October 31, 2024 are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shareholder identified in the table possesses sole voting and investment power over all common shares shown as beneficially owned by the shareholder. Additionally, the table below assumes no purchase of our common shares by the beneficial owners identified therein through our reserved shares program. If any shares are purchased by these persons or entities, the number and percentage of shares of our common shares beneficially owned by them after this offering will differ from the amounts set forth in the table below. See UnderwritingReserved Shares.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below, the address for persons or entities listed in the table is c/o Kestra Medical Technologies, Ltd., 3933 Lake Washington Blvd NE, Suite 200, Kirkland, Washington 98033.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364"/>
        <w:gridCol w:w="130"/>
        <w:gridCol w:w="60"/>
        <w:gridCol w:w="1154"/>
        <w:gridCol w:w="60"/>
        <w:gridCol w:w="130"/>
        <w:gridCol w:w="60"/>
        <w:gridCol w:w="447"/>
        <w:gridCol w:w="275"/>
        <w:gridCol w:w="74"/>
        <w:gridCol w:w="60"/>
        <w:gridCol w:w="1154"/>
        <w:gridCol w:w="60"/>
        <w:gridCol w:w="129"/>
        <w:gridCol w:w="60"/>
        <w:gridCol w:w="447"/>
        <w:gridCol w:w="275"/>
        <w:gridCol w:w="74"/>
        <w:gridCol w:w="60"/>
        <w:gridCol w:w="1154"/>
        <w:gridCol w:w="60"/>
        <w:gridCol w:w="130"/>
        <w:gridCol w:w="60"/>
        <w:gridCol w:w="447"/>
        <w:gridCol w:w="281"/>
      </w:tblGrid>
      <w:tr>
        <w:trPr/>
        <w:tc>
          <w:tcPr>
            <w:tcW w:w="336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36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911"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0"/>
              <w:jc w:val="center"/>
              <w:rPr>
                <w:rFonts w:ascii="Times New Roman" w:hAnsi="Times New Roman"/>
                <w:b/>
                <w:sz w:val="16"/>
              </w:rPr>
            </w:pPr>
            <w:r>
              <w:rPr>
                <w:rFonts w:ascii="Times New Roman" w:hAnsi="Times New Roman"/>
                <w:b/>
                <w:sz w:val="16"/>
              </w:rPr>
              <w:t>OWNED</w:t>
            </w:r>
          </w:p>
          <w:p>
            <w:pPr>
              <w:pStyle w:val="TableContents"/>
              <w:bidi w:val="0"/>
              <w:spacing w:before="0" w:after="0"/>
              <w:jc w:val="center"/>
              <w:rPr>
                <w:rFonts w:ascii="Times New Roman" w:hAnsi="Times New Roman"/>
                <w:b/>
                <w:sz w:val="16"/>
              </w:rPr>
            </w:pPr>
            <w:r>
              <w:rPr>
                <w:rFonts w:ascii="Times New Roman" w:hAnsi="Times New Roman"/>
                <w:b/>
                <w:sz w:val="16"/>
              </w:rPr>
              <w:t>BEFORE THIS</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OFFERING</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10"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0"/>
              <w:jc w:val="center"/>
              <w:rPr>
                <w:rFonts w:ascii="Times New Roman" w:hAnsi="Times New Roman"/>
                <w:b/>
                <w:sz w:val="16"/>
              </w:rPr>
            </w:pPr>
            <w:r>
              <w:rPr>
                <w:rFonts w:ascii="Times New Roman" w:hAnsi="Times New Roman"/>
                <w:b/>
                <w:sz w:val="16"/>
              </w:rPr>
              <w:t>OWNED AFTER</w:t>
            </w:r>
          </w:p>
          <w:p>
            <w:pPr>
              <w:pStyle w:val="TableContents"/>
              <w:bidi w:val="0"/>
              <w:spacing w:before="0" w:after="0"/>
              <w:jc w:val="center"/>
              <w:rPr>
                <w:rFonts w:ascii="Times New Roman" w:hAnsi="Times New Roman"/>
                <w:b/>
                <w:sz w:val="16"/>
              </w:rPr>
            </w:pPr>
            <w:r>
              <w:rPr>
                <w:rFonts w:ascii="Times New Roman" w:hAnsi="Times New Roman"/>
                <w:b/>
                <w:sz w:val="16"/>
              </w:rPr>
              <w:t>THIS</w:t>
            </w:r>
          </w:p>
          <w:p>
            <w:pPr>
              <w:pStyle w:val="TableContents"/>
              <w:bidi w:val="0"/>
              <w:spacing w:before="0" w:after="0"/>
              <w:jc w:val="center"/>
              <w:rPr>
                <w:rFonts w:ascii="Times New Roman" w:hAnsi="Times New Roman"/>
                <w:b/>
                <w:sz w:val="16"/>
              </w:rPr>
            </w:pPr>
            <w:r>
              <w:rPr>
                <w:rFonts w:ascii="Times New Roman" w:hAnsi="Times New Roman"/>
                <w:b/>
                <w:sz w:val="16"/>
              </w:rPr>
              <w:t>OFFERING</w:t>
            </w:r>
          </w:p>
          <w:p>
            <w:pPr>
              <w:pStyle w:val="TableContents"/>
              <w:bidi w:val="0"/>
              <w:spacing w:before="0" w:after="0"/>
              <w:jc w:val="center"/>
              <w:rPr>
                <w:rFonts w:ascii="Times New Roman" w:hAnsi="Times New Roman"/>
                <w:b/>
                <w:sz w:val="16"/>
              </w:rPr>
            </w:pPr>
            <w:r>
              <w:rPr>
                <w:rFonts w:ascii="Times New Roman" w:hAnsi="Times New Roman"/>
                <w:b/>
                <w:sz w:val="16"/>
              </w:rPr>
              <w:t>(WITHOUT</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OPTION)</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11"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0"/>
              <w:jc w:val="center"/>
              <w:rPr>
                <w:rFonts w:ascii="Times New Roman" w:hAnsi="Times New Roman"/>
                <w:b/>
                <w:sz w:val="16"/>
              </w:rPr>
            </w:pPr>
            <w:r>
              <w:rPr>
                <w:rFonts w:ascii="Times New Roman" w:hAnsi="Times New Roman"/>
                <w:b/>
                <w:sz w:val="16"/>
              </w:rPr>
              <w:t>OWNED AFTER</w:t>
            </w:r>
          </w:p>
          <w:p>
            <w:pPr>
              <w:pStyle w:val="TableContents"/>
              <w:bidi w:val="0"/>
              <w:spacing w:before="0" w:after="0"/>
              <w:jc w:val="center"/>
              <w:rPr>
                <w:rFonts w:ascii="Times New Roman" w:hAnsi="Times New Roman"/>
                <w:b/>
                <w:sz w:val="16"/>
              </w:rPr>
            </w:pPr>
            <w:r>
              <w:rPr>
                <w:rFonts w:ascii="Times New Roman" w:hAnsi="Times New Roman"/>
                <w:b/>
                <w:sz w:val="16"/>
              </w:rPr>
              <w:t>THIS</w:t>
            </w:r>
          </w:p>
          <w:p>
            <w:pPr>
              <w:pStyle w:val="TableContents"/>
              <w:bidi w:val="0"/>
              <w:spacing w:before="0" w:after="0"/>
              <w:jc w:val="center"/>
              <w:rPr>
                <w:rFonts w:ascii="Times New Roman" w:hAnsi="Times New Roman"/>
                <w:b/>
                <w:sz w:val="16"/>
              </w:rPr>
            </w:pPr>
            <w:r>
              <w:rPr>
                <w:rFonts w:ascii="Times New Roman" w:hAnsi="Times New Roman"/>
                <w:b/>
                <w:sz w:val="16"/>
              </w:rPr>
              <w:t>OFFERING</w:t>
            </w:r>
          </w:p>
          <w:p>
            <w:pPr>
              <w:pStyle w:val="TableContents"/>
              <w:bidi w:val="0"/>
              <w:spacing w:before="0" w:after="0"/>
              <w:jc w:val="center"/>
              <w:rPr>
                <w:rFonts w:ascii="Times New Roman" w:hAnsi="Times New Roman"/>
                <w:b/>
                <w:sz w:val="16"/>
              </w:rPr>
            </w:pPr>
            <w:r>
              <w:rPr>
                <w:rFonts w:ascii="Times New Roman" w:hAnsi="Times New Roman"/>
                <w:b/>
                <w:sz w:val="16"/>
              </w:rPr>
              <w:t>(WITH</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OPTION)</w:t>
            </w:r>
          </w:p>
        </w:tc>
        <w:tc>
          <w:tcPr>
            <w:tcW w:w="281" w:type="dxa"/>
            <w:tcBorders/>
            <w:vAlign w:val="bottom"/>
          </w:tcPr>
          <w:p>
            <w:pPr>
              <w:pStyle w:val="TableContents"/>
              <w:bidi w:val="0"/>
              <w:spacing w:before="0" w:after="283"/>
              <w:jc w:val="left"/>
              <w:rPr/>
            </w:pPr>
            <w:r>
              <w:rPr/>
              <w:t> </w:t>
            </w:r>
          </w:p>
        </w:tc>
      </w:tr>
      <w:tr>
        <w:trPr/>
        <w:tc>
          <w:tcPr>
            <w:tcW w:w="3364"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30"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7" w:type="dxa"/>
            <w:gridSpan w:val="2"/>
            <w:tcBorders/>
            <w:vAlign w:val="bottom"/>
          </w:tcPr>
          <w:p>
            <w:pPr>
              <w:pStyle w:val="TableContents"/>
              <w:pBdr>
                <w:bottom w:val="single" w:sz="2" w:space="1" w:color="000000"/>
              </w:pBdr>
              <w:bidi w:val="0"/>
              <w:spacing w:before="0" w:after="0"/>
              <w:jc w:val="center"/>
              <w:rPr/>
            </w:pPr>
            <w:r>
              <w:rPr/>
              <w:t> </w:t>
            </w:r>
            <w:r>
              <w:rPr>
                <w:rFonts w:ascii="Times New Roman" w:hAnsi="Times New Roman"/>
                <w:b/>
                <w:sz w:val="16"/>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07" w:type="dxa"/>
            <w:gridSpan w:val="2"/>
            <w:tcBorders/>
            <w:vAlign w:val="bottom"/>
          </w:tcPr>
          <w:p>
            <w:pPr>
              <w:pStyle w:val="TableContents"/>
              <w:pBdr>
                <w:bottom w:val="single" w:sz="2" w:space="1" w:color="000000"/>
              </w:pBdr>
              <w:bidi w:val="0"/>
              <w:spacing w:before="0" w:after="0"/>
              <w:jc w:val="center"/>
              <w:rPr/>
            </w:pPr>
            <w:r>
              <w:rPr/>
              <w:t> </w:t>
            </w:r>
            <w:r>
              <w:rPr>
                <w:rFonts w:ascii="Times New Roman" w:hAnsi="Times New Roman"/>
                <w:b/>
                <w:sz w:val="16"/>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7" w:type="dxa"/>
            <w:gridSpan w:val="2"/>
            <w:tcBorders/>
            <w:vAlign w:val="bottom"/>
          </w:tcPr>
          <w:p>
            <w:pPr>
              <w:pStyle w:val="TableContents"/>
              <w:pBdr>
                <w:bottom w:val="single" w:sz="2" w:space="1" w:color="000000"/>
              </w:pBdr>
              <w:bidi w:val="0"/>
              <w:spacing w:before="0" w:after="0"/>
              <w:jc w:val="center"/>
              <w:rPr/>
            </w:pPr>
            <w:r>
              <w:rPr/>
              <w:t> </w:t>
            </w:r>
            <w:r>
              <w:rPr>
                <w:rFonts w:ascii="Times New Roman" w:hAnsi="Times New Roman"/>
                <w:b/>
                <w:sz w:val="16"/>
              </w:rPr>
              <w:t>%</w:t>
            </w:r>
          </w:p>
        </w:tc>
        <w:tc>
          <w:tcPr>
            <w:tcW w:w="281" w:type="dxa"/>
            <w:tcBorders/>
            <w:vAlign w:val="bottom"/>
          </w:tcPr>
          <w:p>
            <w:pPr>
              <w:pStyle w:val="TableContents"/>
              <w:bidi w:val="0"/>
              <w:spacing w:before="0" w:after="283"/>
              <w:jc w:val="left"/>
              <w:rPr/>
            </w:pPr>
            <w:r>
              <w:rPr/>
              <w:t> </w:t>
            </w:r>
          </w:p>
        </w:tc>
      </w:tr>
      <w:tr>
        <w:trPr/>
        <w:tc>
          <w:tcPr>
            <w:tcW w:w="336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Shareholder</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0"/>
              <w:jc w:val="left"/>
              <w:rPr>
                <w:rFonts w:ascii="Times New Roman" w:hAnsi="Times New Roman"/>
                <w:sz w:val="20"/>
              </w:rPr>
            </w:pPr>
            <w:r>
              <w:rPr>
                <w:rFonts w:ascii="Times New Roman" w:hAnsi="Times New Roman"/>
                <w:sz w:val="20"/>
              </w:rPr>
              <w:t>Affiliate of Bain Capital (1)</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24,949,838</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66.3</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24,949,838</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50.4</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24,949,838</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48.6</w:t>
            </w:r>
          </w:p>
        </w:tc>
        <w:tc>
          <w:tcPr>
            <w:tcW w:w="281" w:type="dxa"/>
            <w:tcBorders/>
            <w:vAlign w:val="bottom"/>
          </w:tcPr>
          <w:p>
            <w:pPr>
              <w:pStyle w:val="TableContents"/>
              <w:bidi w:val="0"/>
              <w:spacing w:before="0" w:after="283"/>
              <w:jc w:val="left"/>
              <w:rPr/>
            </w:pPr>
            <w:r>
              <w:rPr/>
              <w:t>% </w:t>
            </w:r>
          </w:p>
        </w:tc>
      </w:tr>
      <w:tr>
        <w:trPr/>
        <w:tc>
          <w:tcPr>
            <w:tcW w:w="3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Affiliates of Endeavour Entities (2)</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2,646,899</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7.0</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2,646,899</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2,646,899</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5.2</w:t>
            </w:r>
          </w:p>
        </w:tc>
        <w:tc>
          <w:tcPr>
            <w:tcW w:w="281" w:type="dxa"/>
            <w:tcBorders/>
            <w:shd w:fill="CCEEFF" w:val="clear"/>
            <w:vAlign w:val="bottom"/>
          </w:tcPr>
          <w:p>
            <w:pPr>
              <w:pStyle w:val="TableContents"/>
              <w:bidi w:val="0"/>
              <w:spacing w:before="0" w:after="283"/>
              <w:jc w:val="left"/>
              <w:rPr/>
            </w:pPr>
            <w:r>
              <w:rPr/>
              <w:t>% </w:t>
            </w:r>
          </w:p>
        </w:tc>
      </w:tr>
      <w:tr>
        <w:trPr/>
        <w:tc>
          <w:tcPr>
            <w:tcW w:w="3364"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Directors and Named Executive Officers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Webster (3)</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1,408,095</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3.7</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1,408,095</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1,408,095</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2.7</w:t>
            </w:r>
          </w:p>
        </w:tc>
        <w:tc>
          <w:tcPr>
            <w:tcW w:w="281" w:type="dxa"/>
            <w:tcBorders/>
            <w:shd w:fill="CCEEFF" w:val="clear"/>
            <w:vAlign w:val="bottom"/>
          </w:tcPr>
          <w:p>
            <w:pPr>
              <w:pStyle w:val="TableContents"/>
              <w:bidi w:val="0"/>
              <w:spacing w:before="0" w:after="283"/>
              <w:jc w:val="left"/>
              <w:rPr/>
            </w:pPr>
            <w:r>
              <w:rPr/>
              <w:t>% </w:t>
            </w:r>
          </w:p>
        </w:tc>
      </w:tr>
      <w:tr>
        <w:trPr/>
        <w:tc>
          <w:tcPr>
            <w:tcW w:w="3364" w:type="dxa"/>
            <w:tcBorders/>
          </w:tcPr>
          <w:p>
            <w:pPr>
              <w:pStyle w:val="TableContents"/>
              <w:bidi w:val="0"/>
              <w:spacing w:before="0" w:after="0"/>
              <w:jc w:val="left"/>
              <w:rPr>
                <w:rFonts w:ascii="Times New Roman" w:hAnsi="Times New Roman"/>
                <w:sz w:val="20"/>
              </w:rPr>
            </w:pPr>
            <w:r>
              <w:rPr>
                <w:rFonts w:ascii="Times New Roman" w:hAnsi="Times New Roman"/>
                <w:sz w:val="20"/>
              </w:rPr>
              <w:t>Vaseem Mahboob (4)</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20,149</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20,149</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20,149</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3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Traci S. Umberger (5)</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430,066</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430,066</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430,066</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3364" w:type="dxa"/>
            <w:tcBorders/>
          </w:tcPr>
          <w:p>
            <w:pPr>
              <w:pStyle w:val="TableContents"/>
              <w:bidi w:val="0"/>
              <w:spacing w:before="0" w:after="0"/>
              <w:jc w:val="left"/>
              <w:rPr>
                <w:rFonts w:ascii="Times New Roman" w:hAnsi="Times New Roman"/>
                <w:sz w:val="20"/>
              </w:rPr>
            </w:pPr>
            <w:r>
              <w:rPr>
                <w:rFonts w:ascii="Times New Roman" w:hAnsi="Times New Roman"/>
                <w:sz w:val="20"/>
              </w:rPr>
              <w:t>Jeffrey Schwartz (6)</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336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Toby AuWerter (7)</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3364" w:type="dxa"/>
            <w:tcBorders/>
          </w:tcPr>
          <w:p>
            <w:pPr>
              <w:pStyle w:val="TableContents"/>
              <w:bidi w:val="0"/>
              <w:spacing w:before="0" w:after="20"/>
              <w:jc w:val="left"/>
              <w:rPr>
                <w:rFonts w:ascii="Times New Roman" w:hAnsi="Times New Roman"/>
                <w:sz w:val="20"/>
              </w:rPr>
            </w:pPr>
            <w:r>
              <w:rPr>
                <w:rFonts w:ascii="Times New Roman" w:hAnsi="Times New Roman"/>
                <w:sz w:val="20"/>
              </w:rPr>
              <w:t>Maxwell Bikoff (8)</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336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Raymond W. Cohen</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3364"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Gordon (9)</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336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Mary Kay Ladone (10)</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15,933</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15,933</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15,933</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3364" w:type="dxa"/>
            <w:tcBorders/>
          </w:tcPr>
          <w:p>
            <w:pPr>
              <w:pStyle w:val="TableContents"/>
              <w:bidi w:val="0"/>
              <w:spacing w:before="0" w:after="20"/>
              <w:jc w:val="left"/>
              <w:rPr>
                <w:rFonts w:ascii="Times New Roman" w:hAnsi="Times New Roman"/>
                <w:sz w:val="20"/>
              </w:rPr>
            </w:pPr>
            <w:r>
              <w:rPr>
                <w:rFonts w:ascii="Times New Roman" w:hAnsi="Times New Roman"/>
                <w:sz w:val="20"/>
              </w:rPr>
              <w:t>Kevin Reilly (11)</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3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(11 persons)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466,148</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466,148</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466,148</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7,109,944 shares held directly by Bain Charger and 17,839,894 shares indirectly held by Bain Charger Holdings, L.P. through West Affum Holdings, L.P., which Bain Charger is entitled to receive in connection with the Post-IPO Distribution, based on the liquidation value of West Affum Holdings, L.P. immediately following this offering. Bain Capital Investors, LLC (BCI) is the general partner of Bain Charger Holdings, L.P. (Bain Entity). As a result, BCI may be deemed to exercise voting and dispositive power with respect to the shares held by the Bain Entity. Voting and investment decisions with respect to securities held by the Bain Entity are made by the partners of BCI, of whom there are three or more and none of whom individually has the power to direct such decisions. The address of BCI and the Bain Entity is c/o Bain Capital Private Equity, LP, 200 Clarendon Street, Boston, Massachusetts 02116.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972,077 shares held directly by Endeavour Medtech Growth II LP and 1,628,023 shares indirectly held by Endeavour Medtech Growth II LP through West Affum Holdings, L.P., which Endeavour Medtech Growth II LP is entitled to receive in connection with the Post-IPO Distribution, based on the liquidation value of West Affum Holdings, L.P. immediately following this offering; and 17,497 shares held directly by Endeavour Medtech Growth II Parallel LP and 29,302 shares indirectly held by Endeavour Medtech Growth II Parallel LP through West Affum Holdings, L.P., which Endeavour Medtech Growth II Parallel LP is entitled to receive in connection with the Post-IPO Distribution based on the liquidation value of West Affum Holdings, L.P. immediately following this offering. Endeavour Medtech II GP Limited is the general partner of Endeavour Medtech Growth II LP and Endeavour Medtech Growth II Parallel LP (collectively, the Endeavour Entities). Notwithstanding the foregoing, voting and dispositive decisions over such securities are made by West Affum GP Ltd., which is indirectly controlled by BCI. As such, the Endeavour Entities will not have voting and dispositive power of the reported securities until distributed by West Affum Holdings, L.P., and accordingly, disclaim such beneficial ownership. The principal business address of the Endeavour Entities is c/o Endeavour Medtech Growth II LP, P.O. Box 656, East Wing Trafalgar Court, Les Banques, St. Peter Port, Guernsey GY1 3PP.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309,342 shares held directly by Mr. Webster, 1,068,000 shares underlying vested options directly held by Mr. Webster and 30,753 shares indirectly held by Mr. Webster through West Affum Holdings,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which Mr. Webster is entitled to receive in connection with the Post-IPO Distribution, based on the liquidation value of West Affum Holdings, L.P. immediately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14,838 shares held directly by Mr. Mahboob and 5,311 shares indirectly held by Mr. Mahboob, which Mr. Mahboob is entitled to receive in connection with the Post-IPO Distribution, based on the liquidation value of West Affum Holdings, L.P. immediately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91,424 shares held directly by Ms. Umberger, 324,600 shares underlying vested options directly held by Ms. Umberger and 14,042 shares indirectly held by Ms. Umberger, which Ms. Umberger is entitled to receive in connection with the Post-IPO Distribution, based on the liquidation value of West Affum Holdings, L.P. immediately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Schwartz is c/o Bain Capital Private Equity, LP, 200 Clarendon Street, Boston, Massachusetts 02116.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AuWerter is c/o Endeavour Medtech Growth II LP, P.O. Box 656, East Wing Trafalgar Court, Les Banques, St. Peter Port, Guernsey GY1 3PP.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Bikoff is c/o 2740 Sand Hill Road, 2nd Floor, Menlo Park, CA 94025.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Gordon is c/o Bain Capital Private Equity, LP, 200 Clarendon Street, Boston, Massachusetts 02116.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15,933 shares indirectly held by Ms. Ladone, which Ms. Ladone is entitled to receive in connection with the Post-IPO Distribution, based on the liquidation value of West Affum Holdings, L.P. immediately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Mr. Reilly is c/o 430 Park Avenue, Floor 12, New York, NY 10022.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744414_15"/>
      <w:bookmarkEnd w:id="17"/>
      <w:r>
        <w:rPr>
          <w:rFonts w:ascii="Times New Roman" w:hAnsi="Times New Roman"/>
          <w:b/>
          <w:sz w:val="20"/>
        </w:rPr>
        <w:t xml:space="preserve">DESCRIPTION OF CERTAIN INDEBTEDNESS </w:t>
      </w:r>
    </w:p>
    <w:p>
      <w:pPr>
        <w:pStyle w:val="TextBody"/>
        <w:bidi w:val="0"/>
        <w:spacing w:before="240" w:after="0"/>
        <w:jc w:val="left"/>
        <w:rPr>
          <w:rFonts w:ascii="Times New Roman" w:hAnsi="Times New Roman"/>
          <w:i/>
          <w:sz w:val="19"/>
        </w:rPr>
      </w:pPr>
      <w:r>
        <w:rPr>
          <w:rFonts w:ascii="Times New Roman" w:hAnsi="Times New Roman"/>
          <w:i/>
          <w:sz w:val="19"/>
        </w:rPr>
        <w:t xml:space="preserve">The following is a summary of certain provisions of the instruments evidencing our material indebtedness. This summary does not purport to be complete and is subject to, and is qualified in its entirety by reference to, all of the provisions of the definitive documentation with respect to such indebtedness, including the definitions of certain terms therein that are not otherwise defined in this prospectus. </w:t>
      </w:r>
    </w:p>
    <w:p>
      <w:pPr>
        <w:pStyle w:val="TextBody"/>
        <w:bidi w:val="0"/>
        <w:spacing w:before="240" w:after="0"/>
        <w:jc w:val="left"/>
        <w:rPr>
          <w:rFonts w:ascii="Times New Roman" w:hAnsi="Times New Roman"/>
          <w:sz w:val="19"/>
        </w:rPr>
      </w:pPr>
      <w:r>
        <w:rPr>
          <w:rFonts w:ascii="Times New Roman" w:hAnsi="Times New Roman"/>
          <w:sz w:val="19"/>
        </w:rPr>
        <w:t xml:space="preserve">On September 29, 2023, West Affum Holdings and Kestra Medical Technologies, Inc. (together with West Affum Holdings, individually and collectively, jointly and severally, Borrower) entered into a credit agreement (as amended by the consent and first amendment to the credit agreement and guaranty, dated as of July 12, 2024, and as amended by the second amendment (the Second Amendment) to credit agreement and guaranty, dated as of February 25, 2025, the Credit Agreement) among Perceptive Credit Holdings IV, LP, a Delaware limited partnership, as administrative agent (in such capacity, together with its successors and assigns in such capacity, Administrative Agent), the lenders party thereto from time to time, the Borrower and each guarantor party thereto from time to time. The Credit Agreement provides for a senior secured delayed draw term loan facility in an aggregate principal amount of up to $60.0 million. The funding of the Term Loan is available in up to two tranches. The first tranche of $45.0 million was funded in September 2023. The second tranche is available through July 31, 2026 and has not been drawn and is subject to the Company generating $60.0 million of revenue on a 12-month trailing basis. </w:t>
      </w:r>
    </w:p>
    <w:p>
      <w:pPr>
        <w:pStyle w:val="TextBody"/>
        <w:bidi w:val="0"/>
        <w:spacing w:before="240" w:after="0"/>
        <w:jc w:val="left"/>
        <w:rPr>
          <w:rFonts w:ascii="Times New Roman" w:hAnsi="Times New Roman"/>
          <w:sz w:val="19"/>
        </w:rPr>
      </w:pPr>
      <w:r>
        <w:rPr>
          <w:rFonts w:ascii="Times New Roman" w:hAnsi="Times New Roman"/>
          <w:sz w:val="19"/>
        </w:rPr>
        <w:t xml:space="preserve">The Term Loan bears interest on outstanding balances of Term SOFR plus a margin of 7.25% per annum. On or prior to March 31, 2025, up to 2.00% of the margin can be paid-in-kind, accrued and added to the principal balance and compounded quarterly. All interest is due and payable quarterly in arrears. </w:t>
      </w:r>
    </w:p>
    <w:p>
      <w:pPr>
        <w:pStyle w:val="TextBody"/>
        <w:bidi w:val="0"/>
        <w:spacing w:before="240" w:after="0"/>
        <w:jc w:val="left"/>
        <w:rPr>
          <w:rFonts w:ascii="Times New Roman" w:hAnsi="Times New Roman"/>
          <w:sz w:val="19"/>
        </w:rPr>
      </w:pPr>
      <w:r>
        <w:rPr>
          <w:rFonts w:ascii="Times New Roman" w:hAnsi="Times New Roman"/>
          <w:sz w:val="19"/>
        </w:rPr>
        <w:t xml:space="preserve">The Term Loan will mature on September 29, 2028. The Term Loan is not subject to amortization. </w:t>
      </w:r>
    </w:p>
    <w:p>
      <w:pPr>
        <w:pStyle w:val="TextBody"/>
        <w:bidi w:val="0"/>
        <w:spacing w:before="240" w:after="0"/>
        <w:jc w:val="left"/>
        <w:rPr>
          <w:rFonts w:ascii="Times New Roman" w:hAnsi="Times New Roman"/>
          <w:sz w:val="19"/>
        </w:rPr>
      </w:pPr>
      <w:r>
        <w:rPr>
          <w:rFonts w:ascii="Times New Roman" w:hAnsi="Times New Roman"/>
          <w:sz w:val="19"/>
        </w:rPr>
        <w:t xml:space="preserve">The Term Loan may be prepaid in whole or in part at any time for any reason at the option of the Borrower and is required to be mandatorily prepaid upon certain casualty events, incurrence of non-permitted indebtedness and asset sale or upon any acceleration of the Term Loan. Voluntary prepayment of the Term Loan, or mandatory prepayment of the Term Loan resulting from the incurrence of non-permitted indebtedness or asset sale, or upon acceleration of the Term Loan are subject to the payment of a prepayment premium. The prepayment premium is 10% on or prior to September 29, 2024, which declines to 9%, 8%, 6% and 4% every 12 months thereafter. </w:t>
      </w:r>
    </w:p>
    <w:p>
      <w:pPr>
        <w:pStyle w:val="TextBody"/>
        <w:bidi w:val="0"/>
        <w:spacing w:before="240" w:after="0"/>
        <w:jc w:val="left"/>
        <w:rPr>
          <w:rFonts w:ascii="Times New Roman" w:hAnsi="Times New Roman"/>
          <w:sz w:val="19"/>
        </w:rPr>
      </w:pPr>
      <w:r>
        <w:rPr>
          <w:rFonts w:ascii="Times New Roman" w:hAnsi="Times New Roman"/>
          <w:sz w:val="19"/>
        </w:rPr>
        <w:t xml:space="preserve">The Term Loan is guaranteed by certain subsidiaries of the Borrower and secured by substantially all assets of the Borrower and the guarantors, subject to certain customary exceptions and limitations. </w:t>
      </w:r>
    </w:p>
    <w:p>
      <w:pPr>
        <w:pStyle w:val="TextBody"/>
        <w:bidi w:val="0"/>
        <w:spacing w:before="240" w:after="0"/>
        <w:jc w:val="left"/>
        <w:rPr>
          <w:rFonts w:ascii="Times New Roman" w:hAnsi="Times New Roman"/>
          <w:sz w:val="19"/>
        </w:rPr>
      </w:pPr>
      <w:r>
        <w:rPr>
          <w:rFonts w:ascii="Times New Roman" w:hAnsi="Times New Roman"/>
          <w:sz w:val="19"/>
        </w:rPr>
        <w:t xml:space="preserve">The Term Loan includes a number of negative covenants imposing certain restrictions on our business, including, among other things, restrictions on our ability to incur indebtedness, prepay certain indebtedness, incur liens, make certain fundamental changes including mergers or dissolutions, pay dividends and make other payments, repurchases and redemptions in respect of capital stock, make loans and investments, sell assets, change our lines of business, enter into transactions with affiliates and certain other corporate actions. Such negative covenants are subject to customary and other agreed-upon exceptions. The Term Loan also includes customary affirmative covenants. The Term Loan contains certain financial covenants relating to minimum liquidity and minimum revenue. Additionally, there are certain non-financial covenants. As of the date of this prospectus, the Borrower is in compliance with all financial and non-financial covenants under the Term Loan. </w:t>
      </w:r>
    </w:p>
    <w:p>
      <w:pPr>
        <w:pStyle w:val="TextBody"/>
        <w:bidi w:val="0"/>
        <w:spacing w:before="240" w:after="0"/>
        <w:jc w:val="left"/>
        <w:rPr>
          <w:rFonts w:ascii="Times New Roman" w:hAnsi="Times New Roman"/>
          <w:sz w:val="19"/>
        </w:rPr>
      </w:pPr>
      <w:r>
        <w:rPr>
          <w:rFonts w:ascii="Times New Roman" w:hAnsi="Times New Roman"/>
          <w:sz w:val="19"/>
        </w:rPr>
        <w:t xml:space="preserve">The Term Loan contains a number of customary events of default. If an event of default occurs, subject to varying cure periods and rights for certain events of default, the Administrative Agent and the majority lenders will be entitled to take various actions, including the acceleration of amounts due thereunder, the termination of loan commitments in respect of the Term Loan and/or other actions permitted to be taken by a secured creditor. </w:t>
      </w:r>
    </w:p>
    <w:p>
      <w:pPr>
        <w:pStyle w:val="TextBody"/>
        <w:bidi w:val="0"/>
        <w:spacing w:before="240" w:after="0"/>
        <w:jc w:val="left"/>
        <w:rPr>
          <w:rFonts w:ascii="Times New Roman" w:hAnsi="Times New Roman"/>
          <w:sz w:val="19"/>
        </w:rPr>
      </w:pPr>
      <w:r>
        <w:rPr>
          <w:rFonts w:ascii="Times New Roman" w:hAnsi="Times New Roman"/>
          <w:sz w:val="19"/>
        </w:rPr>
        <w:t>For further information, see Note 7, </w:t>
      </w:r>
      <w:r>
        <w:rPr>
          <w:rFonts w:ascii="Times New Roman" w:hAnsi="Times New Roman"/>
          <w:i/>
          <w:sz w:val="19"/>
        </w:rPr>
        <w:t>Long-Term Debt</w:t>
      </w:r>
      <w:r>
        <w:rPr>
          <w:rFonts w:ascii="Times New Roman" w:hAnsi="Times New Roman"/>
          <w:sz w:val="19"/>
        </w:rPr>
        <w:t> and Note 17, </w:t>
      </w:r>
      <w:r>
        <w:rPr>
          <w:rFonts w:ascii="Times New Roman" w:hAnsi="Times New Roman"/>
          <w:i/>
          <w:sz w:val="19"/>
        </w:rPr>
        <w:t>Subsequent Events</w:t>
      </w:r>
      <w:r>
        <w:rPr>
          <w:rFonts w:ascii="Times New Roman" w:hAnsi="Times New Roman"/>
          <w:sz w:val="19"/>
        </w:rPr>
        <w:t xml:space="preserve"> to our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744414_16"/>
      <w:bookmarkEnd w:id="18"/>
      <w:r>
        <w:rPr>
          <w:rFonts w:ascii="Times New Roman" w:hAnsi="Times New Roman"/>
          <w:b/>
          <w:sz w:val="20"/>
        </w:rPr>
        <w:t xml:space="preserve">DESCRIPTION OF SHARE CAPITAL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share capital and provisions of our memorandum of association and amended and restated bye-laws are summaries. You should also refer to the memorandum of association and the amended and restated bye-laws, which are filed as exhibits to the registration statement of which this prospectus is part.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We are an exempted company limited by shares incorporated under the laws of Bermuda. We are registered with the Registrar of Companies in Bermuda under registration number 56682. We were incorporated on May 20, 2021 under the name Kestra Medical Technologies, Ltd. Our principal office is located at 3933 Lake Washington Blvd NE, Suite 200, Kirkland, Washington 98033, and our registered office is located in Cumberland House, 7th Floor, 1 Victoria Street, Hamilton HM 11, Bermuda. Following the consummation of this offering, Kestra Medical Technologies, Ltd. will become a tax resident of Ireland. </w:t>
      </w:r>
    </w:p>
    <w:p>
      <w:pPr>
        <w:pStyle w:val="TextBody"/>
        <w:bidi w:val="0"/>
        <w:spacing w:before="240" w:after="0"/>
        <w:jc w:val="left"/>
        <w:rPr>
          <w:rFonts w:ascii="Times New Roman" w:hAnsi="Times New Roman"/>
          <w:sz w:val="20"/>
        </w:rPr>
      </w:pPr>
      <w:r>
        <w:rPr>
          <w:rFonts w:ascii="Times New Roman" w:hAnsi="Times New Roman"/>
          <w:sz w:val="20"/>
        </w:rPr>
        <w:t xml:space="preserve">The objects of our business are unrestricted, and Kestra Medical Technologies, Ltd. has the capacity of a natural person. We can therefore undertake activities without restriction on our capacity. </w:t>
      </w:r>
    </w:p>
    <w:p>
      <w:pPr>
        <w:pStyle w:val="TextBody"/>
        <w:bidi w:val="0"/>
        <w:spacing w:before="240" w:after="0"/>
        <w:jc w:val="left"/>
        <w:rPr>
          <w:rFonts w:ascii="Times New Roman" w:hAnsi="Times New Roman"/>
          <w:sz w:val="20"/>
        </w:rPr>
      </w:pPr>
      <w:r>
        <w:rPr>
          <w:rFonts w:ascii="Times New Roman" w:hAnsi="Times New Roman"/>
          <w:sz w:val="20"/>
        </w:rPr>
        <w:t xml:space="preserve">Since our incorporation, there have been no material changes to our share capital, mergers, amalgamations or consolidations of us or any of our subsidiaries, no material changes in the mode of conducting our business and no material changes in the types of products produced or services rendered. There have been no bankruptcy, receivership or similar proceedings with respect to us or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public takeover offers by third parties for our shares nor any public takeover offers by us for the shares of another company that have occurred during the last or current financial years. </w:t>
      </w:r>
    </w:p>
    <w:p>
      <w:pPr>
        <w:pStyle w:val="TextBody"/>
        <w:bidi w:val="0"/>
        <w:spacing w:before="240" w:after="0"/>
        <w:jc w:val="left"/>
        <w:rPr>
          <w:rFonts w:ascii="Times New Roman" w:hAnsi="Times New Roman"/>
          <w:sz w:val="20"/>
        </w:rPr>
      </w:pPr>
      <w:r>
        <w:rPr>
          <w:rFonts w:ascii="Times New Roman" w:hAnsi="Times New Roman"/>
          <w:sz w:val="20"/>
        </w:rPr>
        <w:t xml:space="preserve">Initial settlement of our common shares will take place on the closing date of this offering through The Depository Trust Company (DTC), in accordance with its customary settlement procedures for equity securities registered through DTCs book-entry transfer system. Each person beneficially owning common shares registered through DTC must rely on the procedures thereof and on institutions that have accounts therewith to exercise any rights of a holder of the common shares. </w:t>
      </w:r>
    </w:p>
    <w:p>
      <w:pPr>
        <w:pStyle w:val="TextBody"/>
        <w:bidi w:val="0"/>
        <w:spacing w:before="240" w:after="0"/>
        <w:jc w:val="left"/>
        <w:rPr>
          <w:rFonts w:ascii="Times New Roman" w:hAnsi="Times New Roman"/>
          <w:b/>
          <w:sz w:val="20"/>
        </w:rPr>
      </w:pPr>
      <w:r>
        <w:rPr>
          <w:rFonts w:ascii="Times New Roman" w:hAnsi="Times New Roman"/>
          <w:b/>
          <w:sz w:val="20"/>
        </w:rPr>
        <w:t xml:space="preserve">Share Capital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our Board and sole shareholder of the Company have approved an increase in our authorized share capital and a redesignation of our ordinary shares into common shares, as a result of which our authorized share capital is US$100,000,000 divided into 100,000,000 common shares of par value of US$1.00 each. Such increase in our authorized share capital will be filed prior to the consummation of this offering with the Registrar of Companies of Bermuda who will issue a Certificate of Deposit of Memorandum of Increase of Share Capital. After the consummation of the Organizational Transactions, we will have 37,651,467 common shares issued. After the consummation of the Organizational Transactions, this offering and the use of the net proceeds therefrom as described under the section titled Use of Proceeds, we will have 49,533,819 common shares issued, assuming no exercise by the underwriters of their over-allotment option, or 51,316,171 common shares if the underwriters exercise their over-allotment option in full. Pursuant to our amended and restated bye-laws to be in effect upon the closing of this offering, subject to the requirements of the Nasdaq Global Select Market, and to any resolution of the shareholders to the contrary, our Board of Directors is authorized to issue any of our authorized but unissued shares. There are no limitations on the right of non-Bermudians or non-residents of Bermuda to hold or vote our shares provided our common shares remain listed on an appointed stock exchange, which includes the Nasdaq Global Select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Common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240" w:after="0"/>
        <w:jc w:val="left"/>
        <w:rPr>
          <w:rFonts w:ascii="Times New Roman" w:hAnsi="Times New Roman"/>
          <w:sz w:val="20"/>
        </w:rPr>
      </w:pPr>
      <w:r>
        <w:rPr>
          <w:rFonts w:ascii="Times New Roman" w:hAnsi="Times New Roman"/>
          <w:sz w:val="20"/>
        </w:rPr>
        <w:t xml:space="preserve">Under Bermuda law, a company may not declare or pay dividends, or make distributions out of contributed surplus, if there are reasonable grounds for believing that (1) the company is, or would after the payment be, unable to pay its liabilities as they become due; or (2) the realizable value of its assets would thereby be less than its liabilities. Contributed surplus is defined for purposes of Section 54 of the Companies Act to include the proceeds arising from donated shares, credits resulting from the redemption or conversion of shares at less than the amount set up as nominal capital and donations of cash and other assets to the company. Under our amended and restated bye-laws to be in effect upon the closing of this offering, each common share is entitled to dividends if, as and when dividends are declared by our Board of Directors, subject to any preferred dividend right of the holders of any preference shares. We do not anticipate paying cash dividends in the foreseeable future. </w:t>
      </w:r>
    </w:p>
    <w:p>
      <w:pPr>
        <w:pStyle w:val="TextBody"/>
        <w:bidi w:val="0"/>
        <w:spacing w:before="24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shares are entitled to one vote per share on all matters submitted to a vote of holders of common shares. Unless a different majority is required by law or by our amended and restated bye-laws to be in effect upon the closing of this offering, ordinary resolutions to be approved by holders of common shares require approval by a simple majority of votes cast by shareholders entitled to vote at a quorate meeting or by written resolution. </w:t>
      </w:r>
    </w:p>
    <w:p>
      <w:pPr>
        <w:pStyle w:val="TextBody"/>
        <w:bidi w:val="0"/>
        <w:spacing w:before="240" w:after="0"/>
        <w:jc w:val="left"/>
        <w:rPr>
          <w:rFonts w:ascii="Times New Roman" w:hAnsi="Times New Roman"/>
          <w:sz w:val="20"/>
        </w:rPr>
      </w:pPr>
      <w:r>
        <w:rPr>
          <w:rFonts w:ascii="Times New Roman" w:hAnsi="Times New Roman"/>
          <w:sz w:val="20"/>
        </w:rPr>
        <w:t xml:space="preserve">Majority shareholders do not generally owe any duties to other shareholders to refrain from exercising all of the votes attached to their shares. There are no deadlines in the Companies Act relating to the time when votes must be exercised. </w:t>
      </w:r>
    </w:p>
    <w:p>
      <w:pPr>
        <w:pStyle w:val="TextBody"/>
        <w:bidi w:val="0"/>
        <w:spacing w:before="240" w:after="0"/>
        <w:jc w:val="left"/>
        <w:rPr>
          <w:rFonts w:ascii="Times New Roman" w:hAnsi="Times New Roman"/>
          <w:sz w:val="20"/>
        </w:rPr>
      </w:pPr>
      <w:r>
        <w:rPr>
          <w:rFonts w:ascii="Times New Roman" w:hAnsi="Times New Roman"/>
          <w:sz w:val="20"/>
        </w:rPr>
        <w:t xml:space="preserve">The key powers of our shareholders include the power to alter the terms of our memorandum of association and to approve and thereby make effective any alterations to our amended and restated bye-laws to be in effect upon the closing of this offering made by the Board of Directors. Pursuant to Bermuda law, dissenting shareholders holding 20% of our issued share capital may apply to the court to annul or vary an alteration to our memorandum of association. A majority vote against an alteration to our amended and restated bye-laws to be in effect upon the closing of this offering made by the Board of Directors will prevent the alteration from becoming effective. Other key powers are to approve the alteration of our capital, including a reduction in share capital, to approve the removal of a director, to resolve that we will be wound up or discontinued from Bermuda to another jurisdiction or to enter into an amalgamation, merger or winding up. Under the Companies Act, all of the foregoing corporate actions require approval by an ordinary resolution (a simple majority of votes cast), unless our amended and restated bye-laws to be in effect upon the closing of this offering provide otherwise, which our bye-laws will. Our amended and restated bye-laws to be in effect upon the closing of this offering will provide that the Board of Directors may, with the sanction of a resolution passed by shareholders holding at least a majority of the issued shares entitled to vote and present in person or by proxy at a general meeting with the necessary quorum for such meeting of two persons at least holding or representing a majority of our issued shares entitled to vote at such meeting (provided that if the Company has only one shareholder, one shareholder present in person or by proxy will be a quorum for such meeting), amalgamate or merge us with another company. In addition, our amended and restated bye-laws to be in effect upon the closing of this offering will permit us to reduce our issued share capital with the authority of an ordinary resolution of the shareholders. Not less than ten days prior written notice of any resolution to reduce our issued share capital and a copy of such resolution shall be circulated to all shareholders who would be entitled to vote on the resolution at a general meeting at which the resolution could have been considered. 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provides that a company shall not be bound to take notice of any trust or other interest in its shares. There is a presumption that all the rights attaching to shares are held by, and are exercisable by, the registered holder, by virtue of being registered as a member of the company. Our relationship is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registered holder of our shares. If the registered holder of the shares holds the shares for someone else (the beneficial owner), then the beneficial owner is entitled to the shares and may give instructions to the registered holder on how to vote the shares. The Companies Act provides that the registered holder may appoint more than one proxy to attend a shareholder meeting, and consequently where rights to shares are held in a chain the registered holder may appoint the beneficial owner as the registered holders proxy. </w:t>
      </w:r>
    </w:p>
    <w:p>
      <w:pPr>
        <w:pStyle w:val="TextBody"/>
        <w:bidi w:val="0"/>
        <w:spacing w:before="240" w:after="0"/>
        <w:jc w:val="left"/>
        <w:rPr>
          <w:rFonts w:ascii="Times New Roman" w:hAnsi="Times New Roman"/>
          <w:b/>
          <w:i/>
          <w:sz w:val="20"/>
        </w:rPr>
      </w:pPr>
      <w:r>
        <w:rPr>
          <w:rFonts w:ascii="Times New Roman" w:hAnsi="Times New Roman"/>
          <w:b/>
          <w:i/>
          <w:sz w:val="20"/>
        </w:rPr>
        <w:t xml:space="preserve">Pre-emptive or Conversion Rights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and our amended and restated bye-laws to be in effect upon the closing of this offering will not, confer any pre-emptive or sinking fund rights attached to our common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Redemption, Repurchase and Surrender of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balance sheet restrictions, the Companies Act permits a company to purchase its own shares if it is able to do so without becoming cash flow insolvent as a result. Where a company purchases its own shares, such shares may be cancelled (in which event, the companys issued, but not its authorized, capital will be diminished accordingly) or held as treasury shares. The restrictions are that the par value of the share must be charged against the companys issued share capital account or a company fund which is available for dividend or distribution or be paid for out of the proceeds of a fresh issue of shares. Any premium paid on the repurchase of shares must be charged to the companys current share premium account or charged to a company fund which is available for dividend or distribution. The Companies Act does not impose any requirement that the directors shall make a general offer to all shareholders to purchase their shares pro rata to their respective shareholdings. Our amended and restated bye-laws to be in effect upon the closing of this offering will not contain any specific rules regarding the procedures to be followed by us when purchasing our common shares, and consequently the primary source of our obligations to shareholders when we tender for our common shares will be the rules of the listing exchanges on which our common shares are listed.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common shares are entitled to share in our assets, if any, remaining after the payment of all of our debts and liabilities, subject to any liquidation preference on any outstanding preference shares. </w:t>
      </w:r>
    </w:p>
    <w:p>
      <w:pPr>
        <w:pStyle w:val="TextBody"/>
        <w:bidi w:val="0"/>
        <w:spacing w:before="240" w:after="0"/>
        <w:jc w:val="left"/>
        <w:rPr>
          <w:rFonts w:ascii="Times New Roman" w:hAnsi="Times New Roman"/>
          <w:b/>
          <w:sz w:val="20"/>
        </w:rPr>
      </w:pPr>
      <w:r>
        <w:rPr>
          <w:rFonts w:ascii="Times New Roman" w:hAnsi="Times New Roman"/>
          <w:b/>
          <w:sz w:val="20"/>
        </w:rPr>
        <w:t xml:space="preserve">Preference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Bermuda law and our amended and restated bye-laws to be in effect upon the closing of this offering, our Board of Directors may, by resolution,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our Board of Directors without any further shareholder approval. Such rights, preferences, powers and limitations, as may be established, could have the effect of discouraging an attempt to obtain control of our company. </w:t>
      </w:r>
    </w:p>
    <w:p>
      <w:pPr>
        <w:pStyle w:val="TextBody"/>
        <w:bidi w:val="0"/>
        <w:spacing w:before="240" w:after="0"/>
        <w:jc w:val="left"/>
        <w:rPr>
          <w:rFonts w:ascii="Times New Roman" w:hAnsi="Times New Roman"/>
          <w:b/>
          <w:sz w:val="20"/>
        </w:rPr>
      </w:pPr>
      <w:r>
        <w:rPr>
          <w:rFonts w:ascii="Times New Roman" w:hAnsi="Times New Roman"/>
          <w:b/>
          <w:sz w:val="20"/>
        </w:rPr>
        <w:t xml:space="preserve">Warrants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Existing KLIM Warrants will be canceled and Kestra Medical Technologies, Ltd. will issue new KLIM Warrants to purchase common shares. We will issue warrants exercisable for 62,325 and 46,744 common shares, with exercise prices of $17.81 and $20.65, respectively. The warrants will expire on December 28, 2030 and March 7, 2032, respectively. </w:t>
      </w:r>
    </w:p>
    <w:p>
      <w:pPr>
        <w:pStyle w:val="TextBody"/>
        <w:bidi w:val="0"/>
        <w:spacing w:before="240" w:after="0"/>
        <w:jc w:val="left"/>
        <w:rPr>
          <w:rFonts w:ascii="Times New Roman" w:hAnsi="Times New Roman"/>
          <w:sz w:val="20"/>
        </w:rPr>
      </w:pPr>
      <w:r>
        <w:rPr>
          <w:rFonts w:ascii="Times New Roman" w:hAnsi="Times New Roman"/>
          <w:sz w:val="20"/>
        </w:rPr>
        <w:t xml:space="preserve">Also in connection with this offering, the Existing Perceptive Warrants will be canceled and Kestra Medical Technologies, Ltd. will issue new Perceptive Warrants to purchase common shares of the Company. We will issue warrants exercisable for 325,847 shares, with an exercise price of $11.54. The warrants will expire on September 29, 2033.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Variation of Rights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we have more than one class of shares, the rights attaching to any class, unless otherwise provided for by the terms of issue of the relevant class, may be varied either: (1) with the consent in writing of the holders of 75% of the issued shares of that class; or (2) with the sanction of a resolution passed by a simple majority of the votes cast at a general meeting of the relevant class of shareholders at which a quorum of two or more persons holding (or representing by proxy) at least one-third of the issued shares of the applicable class is present. Our amended and restated bye-laws to be in effect upon the closing of this offering will specify that the creation or issue of shares ranking equally with existing preference shares will not, unless expressly provided by the terms of issue of existing preference shares, vary the rights attached to existing preference shares. In addition, the creation or issue of preference shares ranking prior to common shares will not be deemed to vary the rights attached to common shares or, subject to the terms of any other class or series of preference shares, to vary the rights attached to any other class or series of preference shares. </w:t>
      </w:r>
    </w:p>
    <w:p>
      <w:pPr>
        <w:pStyle w:val="TextBody"/>
        <w:bidi w:val="0"/>
        <w:spacing w:before="240" w:after="0"/>
        <w:jc w:val="left"/>
        <w:rPr>
          <w:rFonts w:ascii="Times New Roman" w:hAnsi="Times New Roman"/>
          <w:b/>
          <w:sz w:val="20"/>
        </w:rPr>
      </w:pPr>
      <w:r>
        <w:rPr>
          <w:rFonts w:ascii="Times New Roman" w:hAnsi="Times New Roman"/>
          <w:b/>
          <w:sz w:val="20"/>
        </w:rPr>
        <w:t xml:space="preserve">Transfer of Shares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in its absolute discretion and without assigning any reason, refuse to register the transfer of a share on the basis that it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and must refuse to register the transfer unless all applicable consents, authorizations and permissions of any governmental agency or body in Bermuda have been obtained. Subject to these restrictions, a holder of common shares may transfer the title to all or any of his common shares by completing a form of transfer in such common form as our Board of Directors may accept. If required, the instrument of transfer must be signed by the transferor and transferee, although in the case of a fully paid share our Board of Directors may accept the instrument signed only by the transferor. Our common shares may also be transferred without a written instrument if transferred by an appointed agent or otherwise in accordance with the Companies Act. Notwithstanding the foregoing, shares that are listed may be transferred in accordance with the rules and regulations of the exchange on which the shares are listed. </w:t>
      </w:r>
    </w:p>
    <w:p>
      <w:pPr>
        <w:pStyle w:val="TextBody"/>
        <w:bidi w:val="0"/>
        <w:spacing w:before="240" w:after="0"/>
        <w:jc w:val="left"/>
        <w:rPr>
          <w:rFonts w:ascii="Times New Roman" w:hAnsi="Times New Roman"/>
          <w:b/>
          <w:sz w:val="20"/>
        </w:rPr>
      </w:pPr>
      <w:r>
        <w:rPr>
          <w:rFonts w:ascii="Times New Roman" w:hAnsi="Times New Roman"/>
          <w:b/>
          <w:sz w:val="20"/>
        </w:rPr>
        <w:t xml:space="preserve">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Under Bermuda law, a company is required to convene an annual general meeting of shareholders each calendar year (the annual general meeting). However, the shareholders may by resolution waive this requirement, either for a specific year or period of time, or indefinitely. When the requirement has been so waived, any shareholder may, on notice to the company, terminate the waiver no more than three months before the end of the year, in which case an annual general meeting must be called. We have chosen not to waive the convening of an annual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advance notice of a general meeting, but the accidental omission to give notice to any person entitled to receive notice does not invalidate the proceedings at a meeting. Our amended and restated bye-laws to be in effect upon the closing of this offering will provide that at least ten days but not more than sixty days advance notice be given to shareholders entitled to receive notice of the annual general meeting and of any special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will establish advance notice procedures with respect to shareholder proposals and the nomination of candidates for election as directors. In order for any matter to be properly brought before a meeting, a shareholder will have to comply with advance notice requirements and provide us with certain information. Our amended and restated bye-laws allow the chairperson of the meeting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to adopt rules and regulations for the conduct of meetings which may have the effect of precluding the conduct of certain business at a meeting if the rules and regulations are not followed.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defer, delay or discourage a potential acquirer from conducting a solicitation of proxies to elect the acquirers own slate of directors or otherwise attempting to obtain control of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Access to Books and Records and Dissemination of Information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general public have a right to inspect the public documents of a company available at the office of the Registrar of Companies in Bermuda. These documents include a companys memorandum of association, including its objects and powers, and certain alterations to the memorandum of association. The shareholders have the additional right to inspect the bye-laws of the company, minutes of general meetings and the companys audited financial statements, which must be presented in the annual general meeting (unless all the shareholders and all of the directors agree to dispense with this requirement).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 </w:t>
      </w:r>
    </w:p>
    <w:p>
      <w:pPr>
        <w:pStyle w:val="TextBody"/>
        <w:bidi w:val="0"/>
        <w:spacing w:before="240" w:after="0"/>
        <w:jc w:val="left"/>
        <w:rPr>
          <w:rFonts w:ascii="Times New Roman" w:hAnsi="Times New Roman"/>
          <w:b/>
          <w:sz w:val="20"/>
        </w:rPr>
      </w:pPr>
      <w:r>
        <w:rPr>
          <w:rFonts w:ascii="Times New Roman" w:hAnsi="Times New Roman"/>
          <w:b/>
          <w:sz w:val="20"/>
        </w:rPr>
        <w:t xml:space="preserve">Election and Removal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to be in effect upon the closing of this offering will provide that, except in relation to the right of the holders of any series of preference shares to elect additional directors, our Board of Directors shall be a minimum number of six directors and a maximum number of eleven directors, or such number in excess thereof as the Company may from time to time determine by resolution of the Board of Directors. Upon the closing of this offering and until the Triggering Annual Meeting, our Board of Directors will consist of three classes of directors (other than those directors elected by the holders of any series of preference shares, voting separately as a series or together with one or more other such series, as the case may be). Prior to the Triggering Annual Meeting, each director will serve a three-year term. From and after the Triggering Annual Meeting, our Board of Directors will be declassified and our directors will be elected to hold office for a one-year term expiring at the next annual general meeting of shareholders. See ManagementBoard Composition and 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To be elected, directors must receive a majority of the votes cast by shareholders who are entitled to vote at the applicable shareholder meeting; provided that where the number of persons validly proposed for re-election or election as a director is greater than the number of directors to be elected, the persons receiving the most votes (up to the number of directors to be elected) will be elected as directors, and an absolute majority of the votes cast shall not be a prerequisite to the election of such directors. Any one or more vacancies on the Board of Directors not filled at any general meeting, and any new vacancy created by the Board of Directors as a result of increasing the size of the Board of Directors, can be filled by the Board. Prior to the Triggering Annual Meeting, a director so appointed shall hold office for a term that shall coincide with the remaining term of its class of directors. From and after the Triggering Annual Meeting, a director so appointed will hold office until the next election of directors and until his or her successor will be elected and qualified, subject to prior death, resignation, retirement, disqualification or removal from office.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the holders of any series of preferred shares, a director may be removed by the shareholders with or without cause with the affirmative vote of the holders of a majority of the issued shares entitled to vote; provided that from and after the Trigger Event, a director may be removed, only with cause, by a resolution passed by shareholders holding at least 66 2/3% of the issued shares entitled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Proceedings of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to be in effect upon the closing of this offering will provide that our business is to be managed and conducted by our Board of Directors. Bermuda law permits individual and corporate directors and there will be no requirement in our amended and restated bye-laws to be in effect upon the closing of this offering or Bermuda law that directors hold any of our shares. There will also be no requirement in our amended and restated bye-laws to be in effect upon the closing of this offering or Bermuda law that our directors must retire at a certain age. </w:t>
      </w:r>
    </w:p>
    <w:p>
      <w:pPr>
        <w:pStyle w:val="TextBody"/>
        <w:bidi w:val="0"/>
        <w:spacing w:before="240" w:after="0"/>
        <w:jc w:val="left"/>
        <w:rPr>
          <w:rFonts w:ascii="Times New Roman" w:hAnsi="Times New Roman"/>
          <w:sz w:val="20"/>
        </w:rPr>
      </w:pPr>
      <w:r>
        <w:rPr>
          <w:rFonts w:ascii="Times New Roman" w:hAnsi="Times New Roman"/>
          <w:sz w:val="20"/>
        </w:rPr>
        <w:t xml:space="preserve">The quorum necessary for the transaction of business at a meeting of the Board of Directors shall be the presence of a majority of the total number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of our directors will be determined by the Board of Directors, and there is no requirement that a specified number or percentage of independent directors must approve any such determination. Our directors may also be paid all travel, hotel and other reasonable out-of-pocket expenses properly incurred by them in connection with our business or their duties as directors. </w:t>
      </w:r>
    </w:p>
    <w:p>
      <w:pPr>
        <w:pStyle w:val="TextBody"/>
        <w:bidi w:val="0"/>
        <w:spacing w:before="240" w:after="0"/>
        <w:jc w:val="left"/>
        <w:rPr>
          <w:rFonts w:ascii="Times New Roman" w:hAnsi="Times New Roman"/>
          <w:sz w:val="20"/>
        </w:rPr>
      </w:pPr>
      <w:r>
        <w:rPr>
          <w:rFonts w:ascii="Times New Roman" w:hAnsi="Times New Roman"/>
          <w:sz w:val="20"/>
        </w:rPr>
        <w:t xml:space="preserve">A director who discloses a direct or indirect interest (an Interested Director) in any contract or arrangement with us shall declare the nature of such interest as required by the Companies Act; provided that no such declaration will be required to be made by a non-employee director in respect of such non-employee director being involved in any business opportunity which may be a corporate opportunity for the non-employee director and the Company or any of its affiliates. Following such declaration, the Interested Director shall not be disqualified from participating in the discussion or voting on the matter in which such director is interested unless the chairperson of the meeting determines that such Interested Director shall be disqualified as such. In the event the chairperson of the meeting is the Interested Director, the determination as to whether or not he should be disqualified may be made by a majority of the votes cast by the directors not having such interest. In addition, an Interested Director may, but shall not be required to, recuse himself from the discussion or voting on any particular matter because of possible conflict or for any other reason disclosed to the other directors. Any Interested Director that is so disqualified or that elects to be recused shall nevertheless be counted toward a quorum for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our Board of Directors will chair all meetings of the Board of Directors at which such individual is present. </w:t>
      </w:r>
    </w:p>
    <w:p>
      <w:pPr>
        <w:pStyle w:val="TextBody"/>
        <w:bidi w:val="0"/>
        <w:spacing w:before="24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to be in effect upon the closing of this offering will provide that we shall indemnify our directors and any officers appointed by our Board of Directors to the fullest extent permitted by applicable law; provided, however, that if a director or an officer is a party to an indemnification agreement with us, then the terms of the indemnification agreement shall apply instead of the provisions in our amended and restated bye-laws.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Amendment of memorandum of association and Bye-laws </w:t>
      </w:r>
    </w:p>
    <w:p>
      <w:pPr>
        <w:pStyle w:val="TextBody"/>
        <w:bidi w:val="0"/>
        <w:spacing w:before="240" w:after="0"/>
        <w:jc w:val="left"/>
        <w:rPr>
          <w:rFonts w:ascii="Times New Roman" w:hAnsi="Times New Roman"/>
          <w:sz w:val="20"/>
        </w:rPr>
      </w:pPr>
      <w:r>
        <w:rPr>
          <w:rFonts w:ascii="Times New Roman" w:hAnsi="Times New Roman"/>
          <w:sz w:val="20"/>
        </w:rPr>
        <w:t xml:space="preserve">Bermuda law provides that the memorandum of association of a company may be amended by a resolution passed at a general meeting of shareholders. Our amended and restated bye-laws to be in effect upon the closing of this offering will generally provide that no bye-law shall be rescinded, altered or amended, and no new bye-law shall be made, nor shall our memorandum of association be altered or amended, save in accordance with the Companies Act and unless such change has been approved by a resolution of our Board of Directors and by a resolution of our shareholders. However, from and after the Trigger Event, no bye-law shall be rescinded, altered or amended, and no new bye-law shall be made, nor shall our memorandum of association be altered or amended, save in accordance with the Companies Act and unless such change has been approved by a resolution of our Board of Directors and a resolution passed by shareholders holding at least 66 2/3% of all issued shares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Under Bermuda law, the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 </w:t>
      </w:r>
    </w:p>
    <w:p>
      <w:pPr>
        <w:pStyle w:val="TextBody"/>
        <w:bidi w:val="0"/>
        <w:spacing w:before="240" w:after="0"/>
        <w:jc w:val="left"/>
        <w:rPr>
          <w:rFonts w:ascii="Times New Roman" w:hAnsi="Times New Roman"/>
          <w:b/>
          <w:sz w:val="20"/>
        </w:rPr>
      </w:pPr>
      <w:r>
        <w:rPr>
          <w:rFonts w:ascii="Times New Roman" w:hAnsi="Times New Roman"/>
          <w:b/>
          <w:sz w:val="20"/>
        </w:rPr>
        <w:t xml:space="preserve">Amalgamations and Mergers </w:t>
      </w:r>
    </w:p>
    <w:p>
      <w:pPr>
        <w:pStyle w:val="TextBody"/>
        <w:bidi w:val="0"/>
        <w:spacing w:before="240" w:after="0"/>
        <w:jc w:val="left"/>
        <w:rPr>
          <w:rFonts w:ascii="Times New Roman" w:hAnsi="Times New Roman"/>
          <w:sz w:val="20"/>
        </w:rPr>
      </w:pPr>
      <w:r>
        <w:rPr>
          <w:rFonts w:ascii="Times New Roman" w:hAnsi="Times New Roman"/>
          <w:sz w:val="20"/>
        </w:rPr>
        <w:t xml:space="preserve">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at least 75% of the shareholders voting at such meeting is required to approve the amalgamation or merger agreement, and the quorum for such meeting must be two or more persons holding or representing more than one-third of the issued shares of the company. Our amended and restated bye-laws to be in effect upon the closing of this offering will provide that the approval of the amalgamation or merger agreement by at least a majority of the issued shares entitled to vote and present in person or by proxy at the applicable meeting shall be sufficient (other than in respect of any amalgamation or merger constituting a business combination), and the quorum for such meeting shall be two or more persons holding or representing at least a majority of the issued shares entitled to vote; provided that if the company shall at any time have only one shareholder, one shareholder present in person or by proxy shall form a quorum for such meeting. </w:t>
      </w:r>
    </w:p>
    <w:p>
      <w:pPr>
        <w:pStyle w:val="TextBody"/>
        <w:bidi w:val="0"/>
        <w:spacing w:before="240" w:after="0"/>
        <w:jc w:val="left"/>
        <w:rPr>
          <w:rFonts w:ascii="Times New Roman" w:hAnsi="Times New Roman"/>
          <w:sz w:val="20"/>
        </w:rPr>
      </w:pPr>
      <w:r>
        <w:rPr>
          <w:rFonts w:ascii="Times New Roman" w:hAnsi="Times New Roman"/>
          <w:sz w:val="20"/>
        </w:rPr>
        <w:t xml:space="preserve">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the giving of the notice of the shareholders meeting, apply to the Supreme Court of Bermuda to appraise the fair value of those shares. </w:t>
      </w:r>
    </w:p>
    <w:p>
      <w:pPr>
        <w:pStyle w:val="TextBody"/>
        <w:bidi w:val="0"/>
        <w:spacing w:before="24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Companies Act does not contain specific provisions regarding business combinations between companies organized under the laws of Bermuda and interested shareholders, we will include these provisions in our amended and restated bye-laws to be in effect upon the closing of this offering. Specifically, our amended and restated bye-laws to be in effect upon the closing of this offering will contain provisions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prohibit us from engaging in a business combination with an interested shareholder for a period of three years after the time of the transaction in which the person became an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time that the shareholder became an interested shareholder, our Board of Directors approved either the business combination or the transaction that resulted in the shareholder becoming an interested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shareholder becoming an interested shareholder, the interested shareholder owned at least 85% of our issued voting shares outstanding at the time the transaction commenced;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time of the transaction that resulted in the shareholder becoming an interested shareholder, the business combination is approved by our Board of Directors and authorized at an annual general meeting or special general meeting of shareholders by the affirmative vote of at least 66 2/3% of our issued shares entitled to vote that are not owned by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these provisions, a business combination includes mergers, amalgamations, consolidations, exchanges, asset sales, leases, issues or transfers of shares or other securities and certain other transactions resulting in a financial benefit to the interested shareholder. An interested shareholder is any person or entity that beneficially owns 15% or more of our issued and outstanding voting shares (other than Bain Charger and its affiliates) and any affiliate or associate of that person or entity. </w:t>
      </w:r>
    </w:p>
    <w:p>
      <w:pPr>
        <w:pStyle w:val="TextBody"/>
        <w:bidi w:val="0"/>
        <w:spacing w:before="240" w:after="0"/>
        <w:jc w:val="left"/>
        <w:rPr>
          <w:rFonts w:ascii="Times New Roman" w:hAnsi="Times New Roman"/>
          <w:b/>
          <w:sz w:val="20"/>
        </w:rPr>
      </w:pPr>
      <w:r>
        <w:rPr>
          <w:rFonts w:ascii="Times New Roman" w:hAnsi="Times New Roman"/>
          <w:b/>
          <w:sz w:val="20"/>
        </w:rPr>
        <w:t xml:space="preserve">Shareholder Suits and Choice of Forum </w:t>
      </w:r>
    </w:p>
    <w:p>
      <w:pPr>
        <w:pStyle w:val="TextBody"/>
        <w:bidi w:val="0"/>
        <w:spacing w:before="240" w:after="0"/>
        <w:jc w:val="left"/>
        <w:rPr>
          <w:rFonts w:ascii="Times New Roman" w:hAnsi="Times New Roman"/>
          <w:sz w:val="20"/>
        </w:rPr>
      </w:pPr>
      <w:r>
        <w:rPr>
          <w:rFonts w:ascii="Times New Roman" w:hAnsi="Times New Roman"/>
          <w:sz w:val="20"/>
        </w:rPr>
        <w:t xml:space="preserve">Shareholder class actions and derivative actions are generally not available to shareholders under Bermuda law in the same way that they are under the laws in the United States. The Bermuda courts, however, would ordinarily be expected to permit a shareholder to commence an action in the name of a company to remedy a wrong to the company where the act complained of is alleged to be ultra vires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 </w:t>
      </w:r>
    </w:p>
    <w:p>
      <w:pPr>
        <w:pStyle w:val="TextBody"/>
        <w:bidi w:val="0"/>
        <w:spacing w:before="240" w:after="0"/>
        <w:jc w:val="left"/>
        <w:rPr>
          <w:rFonts w:ascii="Times New Roman" w:hAnsi="Times New Roman"/>
          <w:sz w:val="20"/>
        </w:rPr>
      </w:pPr>
      <w:r>
        <w:rPr>
          <w:rFonts w:ascii="Times New Roman" w:hAnsi="Times New Roman"/>
          <w:sz w:val="20"/>
        </w:rPr>
        <w:t xml:space="preserve">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will provide that, unless we, in writing, select or consent to the selection of an alternate forum, the Supreme Court of Bermuda shall be the exclusive forum for any dispute that arises under the Companies Act or out of or in connection with our amended and restated bye-laws, including any question regarding the existence, validity, application, enforceability or scope of any bye-law and/or whether there has been any breach of the Companies Act or our amended and restated bye-laws or any breach of a duty (including any fiduciary duty) by, or other wrongdoing by, a current or former officer, director, employee, agent or shareholder of the Company to the Company or its shareholders (whether or not such a claim is brought in the name of a shareholder or in the name of the Company). Further, unless we select or consent to the selection of an alternative forum, to the fullest extent permitted by applicable law, the federal district courts of the United States shall be the exclusive forum for the resolution of any complaint asserting a cause of action arising under the Securities Act against the Company or any director, officer, employee or agent of the Company. Notwithstanding the foregoing, the provisions of this paragraph will not apply to suits brought to enforce any liability or duty created by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cannot waive compliance with the federal securities laws and the rules and regulations thereunder. Any person or entity purchasing or otherwise acquiring an interest in any of our common shares shall be deemed to have notice of and to have consented to the forum provisions in our amended and restated bye-laws. It is possible that, in connection with one or more actions or proceedings described above, a court could rule that this provision in our amended and restated bye-laws is inapplicable or unenforceable. </w:t>
      </w:r>
    </w:p>
    <w:p>
      <w:pPr>
        <w:pStyle w:val="TextBody"/>
        <w:bidi w:val="0"/>
        <w:spacing w:before="240" w:after="0"/>
        <w:jc w:val="left"/>
        <w:rPr>
          <w:rFonts w:ascii="Times New Roman" w:hAnsi="Times New Roman"/>
          <w:b/>
          <w:sz w:val="20"/>
        </w:rPr>
      </w:pPr>
      <w:r>
        <w:rPr>
          <w:rFonts w:ascii="Times New Roman" w:hAnsi="Times New Roman"/>
          <w:b/>
          <w:sz w:val="20"/>
        </w:rPr>
        <w:t xml:space="preserve">Capitalization of Profits and Reserves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amended and restated bye-laws to be in effect upon the closing of this offering, our Board of Directors may (1)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(2)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Untraced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to be in effect upon the closing of this offering will provide that our Board of Directors may forfeit any dividend or other monies payable in respect of any shares that remain unclaimed for six years from the date when such monies became due for payment and as such will cease to remain owing by the Company.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 </w:t>
      </w:r>
    </w:p>
    <w:p>
      <w:pPr>
        <w:pStyle w:val="TextBody"/>
        <w:bidi w:val="0"/>
        <w:spacing w:before="240" w:after="0"/>
        <w:jc w:val="left"/>
        <w:rPr>
          <w:rFonts w:ascii="Times New Roman" w:hAnsi="Times New Roman"/>
          <w:b/>
          <w:sz w:val="20"/>
        </w:rPr>
      </w:pPr>
      <w:r>
        <w:rPr>
          <w:rFonts w:ascii="Times New Roman" w:hAnsi="Times New Roman"/>
          <w:b/>
          <w:sz w:val="20"/>
        </w:rPr>
        <w:t xml:space="preserve">Certain Provisions of Bermuda Law </w:t>
      </w:r>
    </w:p>
    <w:p>
      <w:pPr>
        <w:pStyle w:val="TextBody"/>
        <w:bidi w:val="0"/>
        <w:spacing w:before="240" w:after="0"/>
        <w:jc w:val="left"/>
        <w:rPr>
          <w:rFonts w:ascii="Times New Roman" w:hAnsi="Times New Roman"/>
          <w:sz w:val="20"/>
        </w:rPr>
      </w:pPr>
      <w:r>
        <w:rPr>
          <w:rFonts w:ascii="Times New Roman" w:hAnsi="Times New Roman"/>
          <w:sz w:val="20"/>
        </w:rPr>
        <w:t xml:space="preserve">We have been designated by the Bermuda Monetary Authority as a non-resident for Bermuda exchange control purposes. This designation allows us to engage in transactions in currencies other than the Euro, and there are no restrictions on our ability to transfer funds (other than funds denominated in Euros) in and out of Ireland or to pay dividends to U.S. residents who are holders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Bermuda Monetary Authority has given its general permission for the issue and free transferability of all of the common shares that are the subject of this offering to and between residents and non-residents of Bermuda for exchange control purposes, provided our shares remain listed on an appointed stock exchange, which includes the Nasdaq Global Select Market. 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in this prospectus. Certain issues and transfers of common shares involving persons deemed resident in Bermuda for exchange control purposes require the specific consent of the Bermuda Monetary Authority.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Economic Substance Act </w:t>
      </w:r>
    </w:p>
    <w:p>
      <w:pPr>
        <w:pStyle w:val="TextBody"/>
        <w:bidi w:val="0"/>
        <w:spacing w:before="240" w:after="0"/>
        <w:jc w:val="left"/>
        <w:rPr>
          <w:rFonts w:ascii="Times New Roman" w:hAnsi="Times New Roman"/>
          <w:sz w:val="20"/>
        </w:rPr>
      </w:pPr>
      <w:r>
        <w:rPr>
          <w:rFonts w:ascii="Times New Roman" w:hAnsi="Times New Roman"/>
          <w:sz w:val="20"/>
        </w:rPr>
        <w:t xml:space="preserve">Bermudas economic substance laws are contained in the Economic Substance Act 2018, as amended, and the Economic Substance Regulations 2018, as amended (together the ESA). The ESA was enacted to demonstrate Bermudas commitment to comply with international standards with respect to cooperation for tax purposes and to ensure that Bermuda does not facilitate the use of structures which attract profits, but which do not reflect real economic activity within Bermuda. The ESA provides that a registered entity other than an entity which is resident for tax purposes in certain jurisdictions outside Bermuda (non-resident entity) that carries on as a business any one or more of the relevant activities referred to in the ESA must comply with economic substance requirements. The list of relevant activities includes carrying on any one or more of the following activities: banking, insurance, fund management, financing, leasing, headquarters, shipping, distribution and service center, intellectual property and holding entities. Under the ESA, if an entity is engaged in one or more relevant activities, it is required to maintain a substantial economic presence in Bermuda and to comply with the economic substance requirements set forth in the ESA. An entity will comply with those economic substance requirements if it: (a) is managed and directed in Bermuda; (b) undertakes core income generating activities (as may be prescribed under the ESA) in Bermuda in respect of the relevant activity; (c) maintains adequate physical presence in Bermuda; (d) has adequate senior executives, employees or other persons in Bermuda with suitable qualifications; and (e) incurs adequate operating expenditure in Bermuda in relation to the relevant activity undertaken by it. </w:t>
      </w:r>
    </w:p>
    <w:p>
      <w:pPr>
        <w:pStyle w:val="TextBody"/>
        <w:bidi w:val="0"/>
        <w:spacing w:before="240" w:after="0"/>
        <w:jc w:val="left"/>
        <w:rPr>
          <w:rFonts w:ascii="Times New Roman" w:hAnsi="Times New Roman"/>
          <w:sz w:val="20"/>
        </w:rPr>
      </w:pPr>
      <w:r>
        <w:rPr>
          <w:rFonts w:ascii="Times New Roman" w:hAnsi="Times New Roman"/>
          <w:sz w:val="20"/>
        </w:rPr>
        <w:t xml:space="preserve">The ESA requires entities subject to it to make annual filings with the Bermuda Registrar of Companies to demonstrate the economic substance of the entitys activities and business in Bermuda. The Company does not currently file any ESA declarations as it does not conduct a relevant activity for the purposes of the ESA. </w:t>
      </w:r>
    </w:p>
    <w:p>
      <w:pPr>
        <w:pStyle w:val="TextBody"/>
        <w:bidi w:val="0"/>
        <w:spacing w:before="24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this offering certain of our shareholders, including Bain Capital and certain of our executive officers, will be entitled to rights with respect to the registration of our common shares under the Securities Act. These registration rights are contained in a Registration Rights Agreement with such shareholders that West Affum Holdings, L.P. intends to assign to us and we intend to assume in connection with this offering. See Certain Relationships and Related Party TransactionsRegistration Rights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Corporate Opportunities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bye-laws to be in effect upon the closing of this offering will provide that, to the fullest extent permitted by applicable law, we renounce any interest or expectancy in, or in being offered an opportunity to participate in, any business opportunity that may from time to time be presented to Bain Charger, members of our Board of Directors who are not our employees (Non-Employee Directors), and their respective affiliates (collectively, the Identified Persons), and that may be a business opportunity for such parties, even if the opportunity is one that we might reasonably have pursued or had the ability or desire to pursue if granted the opportunity to do so. No Identified Person will be liable to us, to the fullest extent permitted by applicable law, for breach of any fiduciary or other duty, as a shareholder, director or officer, by reason of the fact that such person pursues or acquires any such business opportunity, directs any such business opportunity to another person or fails to present any such business opportunity, or information regarding any such business opportunity, to us unless, in the case of any Non-Employee Directors, any such business opportunity is expressly offered to such person in writing solely in his or her capacity as our director. No Identified Person has any duty to refrain from engaging directly or indirectly in the same or similar business activities or lines of business as us or any of our subsidiaries. </w:t>
      </w:r>
    </w:p>
    <w:p>
      <w:pPr>
        <w:pStyle w:val="TextBody"/>
        <w:bidi w:val="0"/>
        <w:spacing w:before="24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240" w:after="0"/>
        <w:jc w:val="left"/>
        <w:rPr>
          <w:rFonts w:ascii="Times New Roman" w:hAnsi="Times New Roman"/>
          <w:sz w:val="20"/>
        </w:rPr>
      </w:pPr>
      <w:r>
        <w:rPr>
          <w:rFonts w:ascii="Times New Roman" w:hAnsi="Times New Roman"/>
          <w:sz w:val="20"/>
        </w:rPr>
        <w:t xml:space="preserve">Our memorandum of association and our amended and restated bye-laws to be in effect upon the closing of this offering will contain provisions that may delay, defer or discourage another party from acquiring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shareholders. However, they may also discourage acquisitions that some shareholders may favor.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classified Board of Directors with staggered three-year terms until the Triggering Annual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only to be removed for cause and only with a resolution passed by holders of at least 66 2/3% of all issued shares entitled to vote, from and after the Trigger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Trigger Event, amendments to our amended and restated bye-laws and memorandum of association will require the approval of our Board of Directors and a resolution passed by holders of at least 66 2/3% of all issued shares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Trigger Event, only permit shareholder action by written consent when it is unanimously approved by our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time period in which directors may be 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shareholders ability to call special general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Board of Directors to determine the powers, preferences and rights of preference shares and to cause us to issue the preference shares without shareholder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bye-laws to be in effect upon the closing of this offering will contain provisions which prohibit us, subject to certain exceptions, from engaging in business combinations and other specified transactions with persons (excluding Bain Charger and its affiliates) for a period of three years after the time of the transaction in which the person acquired 15% of more of our issued voting shares. See Business Combinations. </w:t>
      </w:r>
    </w:p>
    <w:p>
      <w:pPr>
        <w:pStyle w:val="TextBody"/>
        <w:bidi w:val="0"/>
        <w:spacing w:before="24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A register of holders of the common shares will be maintained by Maples Corporate Services (Bermuda) Limited in Bermuda, and a branch register will be maintained in the United States by Computershare Trust Company, N.A., which will also serve as transfer agent. The transfer agents address is 150 Royall Street, Canton, Massachusetts 02021. </w:t>
      </w:r>
    </w:p>
    <w:p>
      <w:pPr>
        <w:pStyle w:val="TextBody"/>
        <w:bidi w:val="0"/>
        <w:spacing w:before="240" w:after="0"/>
        <w:jc w:val="left"/>
        <w:rPr>
          <w:rFonts w:ascii="Times New Roman" w:hAnsi="Times New Roman"/>
          <w:b/>
          <w:sz w:val="20"/>
        </w:rPr>
      </w:pPr>
      <w:r>
        <w:rPr>
          <w:rFonts w:ascii="Times New Roman" w:hAnsi="Times New Roman"/>
          <w:b/>
          <w:sz w:val="20"/>
        </w:rPr>
        <w:t xml:space="preserve">Listing </w:t>
      </w:r>
    </w:p>
    <w:p>
      <w:pPr>
        <w:pStyle w:val="TextBody"/>
        <w:bidi w:val="0"/>
        <w:spacing w:before="240" w:after="0"/>
        <w:jc w:val="left"/>
        <w:rPr>
          <w:rFonts w:ascii="Times New Roman" w:hAnsi="Times New Roman"/>
          <w:sz w:val="20"/>
        </w:rPr>
      </w:pPr>
      <w:r>
        <w:rPr>
          <w:rFonts w:ascii="Times New Roman" w:hAnsi="Times New Roman"/>
          <w:sz w:val="20"/>
        </w:rPr>
        <w:t>We have been approved to list our common shares on The Nasdaq Global Select Market under the symbol KMTS.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744414_17"/>
      <w:bookmarkEnd w:id="19"/>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no public market existed for our common shares. Future sales of our common shares in the public market after this offering, or the perception that these sales could occur, could adversely affect prevailing market prices for our common shares and could impair our future ability to raise equity capital. </w:t>
      </w:r>
    </w:p>
    <w:p>
      <w:pPr>
        <w:pStyle w:val="TextBody"/>
        <w:bidi w:val="0"/>
        <w:spacing w:before="240" w:after="0"/>
        <w:jc w:val="left"/>
        <w:rPr>
          <w:rFonts w:ascii="Times New Roman" w:hAnsi="Times New Roman"/>
          <w:sz w:val="20"/>
        </w:rPr>
      </w:pPr>
      <w:r>
        <w:rPr>
          <w:rFonts w:ascii="Times New Roman" w:hAnsi="Times New Roman"/>
          <w:sz w:val="20"/>
        </w:rPr>
        <w:t xml:space="preserve">Based on the number of common shares issued as of October 31, 2024, upon the closing of this offering and assuming no exercise by the underwriters of their over-allotment option to purchase up to 1,782,352 additional common shares, 49,533,819 common shares will be outstanding. All of the common shares sold in this offering will be freely tradable without restrictions or further registration under the Securities Act, except for any shares sold to our affiliates, as defined in Rule 144 under the Securities Act. The remaining common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contractual restrictions described below and the provisions of Rules 144 and 701, the common shares sold in this offering and the restricted securities will be available for sale in the public market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common shares sold in this offering will be eligible for immediate sale upon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37,651,467 common shares will be eligible for sale in the public market upon expiration of lock-up agreements 180 days after the date of this prospectus, subject in certain circumstances to the volume, manner of sale and other limitations under Rule 144 and Rule 701.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Rule 144 </w:t>
      </w:r>
    </w:p>
    <w:p>
      <w:pPr>
        <w:pStyle w:val="TextBody"/>
        <w:bidi w:val="0"/>
        <w:spacing w:before="240" w:after="0"/>
        <w:jc w:val="left"/>
        <w:rPr>
          <w:rFonts w:ascii="Times New Roman" w:hAnsi="Times New Roman"/>
          <w:sz w:val="20"/>
        </w:rPr>
      </w:pPr>
      <w:r>
        <w:rPr>
          <w:rFonts w:ascii="Times New Roman" w:hAnsi="Times New Roman"/>
          <w:sz w:val="20"/>
        </w:rPr>
        <w:t xml:space="preserve">In general, persons who have beneficially owned our common shares for at least six months, and any affiliate of the company who owns our common shares, are entitled to sell their securities without registration with the SEC under an exemption from registration provided by Rule 144 under the Securities Act. </w:t>
      </w:r>
    </w:p>
    <w:p>
      <w:pPr>
        <w:pStyle w:val="TextBody"/>
        <w:bidi w:val="0"/>
        <w:spacing w:before="240" w:after="0"/>
        <w:jc w:val="left"/>
        <w:rPr>
          <w:rFonts w:ascii="Times New Roman" w:hAnsi="Times New Roman"/>
          <w:b/>
          <w:i/>
          <w:sz w:val="20"/>
        </w:rPr>
      </w:pPr>
      <w:r>
        <w:rPr>
          <w:rFonts w:ascii="Times New Roman" w:hAnsi="Times New Roman"/>
          <w:b/>
          <w:i/>
          <w:sz w:val="20"/>
        </w:rPr>
        <w:t xml:space="preserve">Non-Affiliates </w:t>
      </w:r>
    </w:p>
    <w:p>
      <w:pPr>
        <w:pStyle w:val="TextBody"/>
        <w:bidi w:val="0"/>
        <w:spacing w:before="240" w:after="0"/>
        <w:jc w:val="left"/>
        <w:rPr>
          <w:rFonts w:ascii="Times New Roman" w:hAnsi="Times New Roman"/>
          <w:sz w:val="20"/>
        </w:rPr>
      </w:pPr>
      <w:r>
        <w:rPr>
          <w:rFonts w:ascii="Times New Roman" w:hAnsi="Times New Roman"/>
          <w:sz w:val="20"/>
        </w:rPr>
        <w:t xml:space="preserve">Any person who is not deemed to have been one of our affiliates at the time of, or at any time during the three months preceding, a sale may sell an unlimited number of common shares under Rule 144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2"/>
        <w:gridCol w:w="8981"/>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shares have been held for at least six months, including the holding period of any prior owner other than one of our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been subject to the Exchange Act periodic reporting requirements for at least 90 days before the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current in our Exchange Act reporting at the time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person who is not deemed to have been an affiliate of ours at the time of, or at any time during the three months preceding, a sale and has held the common shares for at least one year, including the holding period of any prior owner other than one of our affiliates, will be entitled to sell an unlimited number of common shares without regard to the length of time we have been subject to Exchange Act periodic reporting or whether we are current in our Exchange Act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Affiliates </w:t>
      </w:r>
    </w:p>
    <w:p>
      <w:pPr>
        <w:pStyle w:val="TextBody"/>
        <w:bidi w:val="0"/>
        <w:spacing w:before="240" w:after="0"/>
        <w:jc w:val="left"/>
        <w:rPr>
          <w:rFonts w:ascii="Times New Roman" w:hAnsi="Times New Roman"/>
          <w:sz w:val="20"/>
        </w:rPr>
      </w:pPr>
      <w:r>
        <w:rPr>
          <w:rFonts w:ascii="Times New Roman" w:hAnsi="Times New Roman"/>
          <w:sz w:val="20"/>
        </w:rPr>
        <w:t xml:space="preserve">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our common shares then outstanding, which will equal approximately 495,338 shares immediately after the closing of this offering based on the number of shares outstanding as of October 31, 2024,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trading volume of our common shares on the Nasdaq Global Select Market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Rule 701 </w:t>
      </w:r>
    </w:p>
    <w:p>
      <w:pPr>
        <w:pStyle w:val="TextBody"/>
        <w:bidi w:val="0"/>
        <w:spacing w:before="240" w:after="0"/>
        <w:jc w:val="left"/>
        <w:rPr>
          <w:rFonts w:ascii="Times New Roman" w:hAnsi="Times New Roman"/>
          <w:sz w:val="20"/>
        </w:rPr>
      </w:pPr>
      <w:r>
        <w:rPr>
          <w:rFonts w:ascii="Times New Roman" w:hAnsi="Times New Roman"/>
          <w:sz w:val="20"/>
        </w:rPr>
        <w:t xml:space="preserve">Rule 701 under the Securities Act, as in effect on the date of this prospectus, permits resales of shares in reliance upon Rule 144 but without compliance with certain restrictions of Rule 144, including the holding period requirement. Our employees, executive officers or directors who purchase shares under a written compensatory plan or contract will be entitled to rely on the resale provisions of Rule 701, but any holders of Rule 701 shares will be required to wait until 90 days after the date of this prospectus before selling their shares. However, all our Rule 701 shares are subject to lock-up agreements as described below and in the section titled Underwriting and will become eligible for sale only upon the expiration of the restrictions set forth in those agreements. </w:t>
      </w:r>
    </w:p>
    <w:p>
      <w:pPr>
        <w:pStyle w:val="TextBody"/>
        <w:bidi w:val="0"/>
        <w:spacing w:before="24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after the closing of this offering, we intend to file with the SEC one or more registration statements on Form S-8 under the Securities Act to register our common shares that are subject to outstanding options and awards issuable pursuant to our equity incentive plans. Shares covered by these registration statements will then be eligible for sale in the public markets, subject to vesting restrictions, any applicable lock-up agreements described below and Rule 144 limitations applicable to affiliates. </w:t>
      </w:r>
    </w:p>
    <w:p>
      <w:pPr>
        <w:pStyle w:val="TextBody"/>
        <w:bidi w:val="0"/>
        <w:spacing w:before="24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We and the holders of substantially all of our common shares issued on the date of this prospectus, including each of our executive officers and directors, have entered into lock-up agreements with the underwriters or otherwise agreed, subject to certain exceptions, that we and they will not, directly or indirectly, offer,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common shares; file any registration statement with the SEC relating to the offering of any common shares or any securities convertible into or exercisable or exchangeable for common shares; enter into any swap or other arrangement that transfers to another, in whole or in part, any of the economic consequences of ownership of common shares; or make any demand for, or exercise any right with respect to, the registration of any common shares of or any security convertible into or exercisable or exchangeable for common shares, without the prior written consent of BofA Securities, Inc., Goldman Sachs &amp; Co. LLC and Piper Sandler &amp; Co. for a period of 180 days from the date of this prospectus. See the section titled UnderwritingNo Sales of Similar Securities for more information on the lock-up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lock-up restrictions described above, following this offering, certain holders of our common shares may demand (subject to certain conditions set forth in the Registration Rights Agreement) that we register the sale of their shares under the Securities Act or, if we file another registration statement under the Securities Act other than a Form S-8 covering securities issuable under our equity plans or on Form S-4, may elect to include their common shares in such registration. Following such registered sales, the shares will be freely tradable without restriction under the Securities Act, unless held by our affiliates. See Certain Relationships and Related Party TransactionsRegistration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744414_18"/>
      <w:bookmarkEnd w:id="20"/>
      <w:r>
        <w:rPr>
          <w:rFonts w:ascii="Times New Roman" w:hAnsi="Times New Roman"/>
          <w:b/>
          <w:sz w:val="20"/>
        </w:rPr>
        <w:t xml:space="preserve">BERMUDA COMPANY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Our corporate affairs are governed by our memorandum of association and amended and restated bye-laws to be in effect upon the closing of this offering and by the laws of Bermuda. The provisions of the Companies Act, which applies to us, differ in certain material respects from laws generally applicable to U.S. companies incorporated in the State of Delaware and their shareholders. The following is a summary of significant differences between the Companies Act (including modifications to be adopted pursuant to our amended and restated bye-laws to be in effect upon the closing of this offering) and Bermuda common law applicable to us and our shareholders and the provisions of the Delaware General Corporation Law (DGCL) applicable to U.S. companies organized under the laws of Delaware and their shareholders.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Bermuda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Delaware</w:t>
            </w:r>
          </w:p>
        </w:tc>
      </w:tr>
      <w:tr>
        <w:trPr/>
        <w:tc>
          <w:tcPr>
            <w:tcW w:w="5205" w:type="dxa"/>
            <w:tcBorders/>
          </w:tcPr>
          <w:p>
            <w:pPr>
              <w:pStyle w:val="TableContents"/>
              <w:bidi w:val="0"/>
              <w:spacing w:before="0" w:after="283"/>
              <w:jc w:val="left"/>
              <w:rPr>
                <w:b/>
                <w:i/>
              </w:rPr>
            </w:pPr>
            <w:r>
              <w:rPr>
                <w:b/>
                <w:i/>
              </w:rPr>
              <w:t>Shareholder Meetings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 special general meeting may be called by the board of directors and must be called upon the request of shareholders holding not less than 10% of the paid-up capital of the company carrying the right to vote at general meetings.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  May be held at such time or place as designated in the certificate of incorporation or the bye-laws, or if not so designated, as determined by the board of directors.</w:t>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  May be held in or outside Bermuda.</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  May be held in or outside of Delaware.</w:t>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  Notice: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  Notice:</w:t>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  Shareholders must be given at least five days advance notice of a general meeting, but the unintentional failure to give notice to any person does not invalidate the proceedings at a meeting.</w:t>
            </w:r>
          </w:p>
        </w:tc>
        <w:tc>
          <w:tcPr>
            <w:tcW w:w="203" w:type="dxa"/>
            <w:vMerge w:val="restart"/>
            <w:tcBorders/>
            <w:vAlign w:val="bottom"/>
          </w:tcPr>
          <w:p>
            <w:pPr>
              <w:pStyle w:val="TableContents"/>
              <w:bidi w:val="0"/>
              <w:spacing w:before="0" w:after="283"/>
              <w:jc w:val="left"/>
              <w:rPr/>
            </w:pPr>
            <w:r>
              <w:rPr/>
              <w:t>  </w:t>
            </w:r>
          </w:p>
        </w:tc>
        <w:tc>
          <w:tcPr>
            <w:tcW w:w="4797" w:type="dxa"/>
            <w:vMerge w:val="restart"/>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  Written notice shall be given not less than ten nor more than 60 days before the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  Whenever shareholders are required to take any action at a meeting, a written notice of the meeting shall be given which shall state the place, if any, date and hour of the meeting, and the means of remote communication, if any.</w:t>
            </w:r>
          </w:p>
        </w:tc>
      </w:tr>
      <w:tr>
        <w:trPr/>
        <w:tc>
          <w:tcPr>
            <w:tcW w:w="520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  Notice of general meetings must specify the place, the day and hour of the meeting and in the case of special general meetings, the general nature of the business to be considered.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  Our amended and restated bye-laws to be in effect upon the closing of this offering will provide that at least ten days but not more than 60 days advance notice be provided to shareholders entitled to receive notice for any annual general meeting and of any special general meeting.</w:t>
            </w:r>
          </w:p>
        </w:tc>
        <w:tc>
          <w:tcPr>
            <w:tcW w:w="203" w:type="dxa"/>
            <w:vMerge w:val="continue"/>
            <w:tcBorders/>
            <w:vAlign w:val="bottom"/>
          </w:tcPr>
          <w:p>
            <w:pPr>
              <w:pStyle w:val="Normal"/>
              <w:bidi w:val="0"/>
              <w:jc w:val="left"/>
              <w:rPr/>
            </w:pPr>
            <w:r>
              <w:rPr/>
            </w:r>
          </w:p>
        </w:tc>
        <w:tc>
          <w:tcPr>
            <w:tcW w:w="4797" w:type="dxa"/>
            <w:vMerge w:val="continue"/>
            <w:tcBorders/>
          </w:tcPr>
          <w:p>
            <w:pPr>
              <w:pStyle w:val="Normal"/>
              <w:bidi w:val="0"/>
              <w:jc w:val="left"/>
              <w:rPr/>
            </w:pPr>
            <w:r>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i/>
                <w:sz w:val="20"/>
              </w:rPr>
            </w:pPr>
            <w:r>
              <w:rPr>
                <w:rFonts w:ascii="Times New Roman" w:hAnsi="Times New Roman"/>
                <w:b/>
                <w:i/>
                <w:sz w:val="20"/>
              </w:rPr>
              <w:t>Shareholders Voting Rights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Bermuda law, shareholders may act by written consent to elect directors. However, shareholders may not act by written consent to remove a director or auditor. Our amended and restated bye-laws will generally allow shareholder action by written consent. However, from and after the Trigger Event, any shareholder action by written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the DGCL, unless otherwise specified in a corporations certificate of incorporation, stockholders may take action permitted to be taken at an annual or special meeting, without a meeting, notice or a vote, if consents, in writing, setting forth the action, are signed by stockholders with not less than the minimum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Bermuda</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consent will require the unanimous approval of our shareholders.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number of votes that would be necessary to authorize the action at a meeting. All consents must be dated and are only effective if the requisite signatures are collected within 60 days of the earliest dated consent delivered.</w:t>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  Generally, except as otherwise provided in the bye-laws, or the Companies Act, any action or resolution requiring approval of the shareholders may be passed by a simple majority of votes cast. Any person authorized to vote may authorize another person or persons to act for him or her by proxy.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  Our amended and restated bye-laws will generally provide that no bye-law shall be rescinded, altered or amended, and no new bye-law shall be made, nor shall our memorandum of association be altered or amended, save in accordance with the Companies Act and unless such change has been approved by a resolution of our Board of Directors and by a resolution of our shareholders. However, from and after the Trigger Event, no bye-law shall be rescinded, altered or amended, and no new bye-law shall be made, nor shall our memorandum of association be altered or amended, save in accordance with the Companies Act and unless such change has been approved by a resolution of our Board of Directors and a resolution passed by holders of at least 66 2/3% of all issued shares entitled to vote.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  In matters other than the election of directors, with the exception of special voting requirements related to extraordinary transactions, and unless otherwise provided in a companys certificate of incorporation or bylaws, the affirmative vote of a majority of shares present in person or represented by proxy and entitled to vote at a meeting in which a quorum is present is required for shareholder action.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  Any person authorized to vote may authorize another person or persons to act for him or her by proxy.</w:t>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Bermuda law, the voting rights of shareholders are regulated by a companys bye-laws and, in certain circumstances, by the Companies Act. The bye-laws may specify the number to constitute a quorum and if the bye-laws permit, a general meeting of the shareholders of a company may be held with only one individual present if the requirement for a quorum is satisfied.</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  For stock corporations, the certificate of incorporation or bye-laws may specify the number to constitute a quorum, but in no event shall a quorum consist of less than one-third of shares entitled to vote at a meeting. In the absence of such specifications, a majority of shares entitled to vote shall constitute a quorum.</w:t>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  Our amended and restated bye-laws to be in effect upon the closing of this offering will provide that the quorum required for a general meeting of shareholders is two or more persons present in person at the start of the meeting and representing in person or by proxy in excess of 50% of all issued shares that are entitled to vote at the meeting provided that if the company shall at any time have only one shareholder, one shareholder present in person or by proxy shall form a quorum for the transaction of business at any general meeting held during such time.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Bermuda</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  Under Bermuda law, the bye-laws may provide for cumulative voting, although our amended and restated bye-laws to be in effect upon the closing of this offering will not.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  The certificate of incorporation may provide for cumulative voting.</w:t>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at least 75% of the shareholders voting at such meeting is required to approve the amalgamation or merger agreement, and the quorum for such meeting must be two or more persons holding or representing more than one-third of the issued shares of the company. Our amended and restated bye-laws to be in effect upon the closing of this offering will provide that the approval of the amalgamation or merger agreement by at least a majority of the issued shares entitled to vote and present in person or by proxy at the applicable meeting (other than in respect of any amalgamation or merger constituting a business combination), and the quorum for such meeting shall be two or more persons holding or representing at least a majority of the issued shares entitled to vote; provided that if the Company shall at any time have only one shareholder, one shareholder present in person or by proxy shall form a quorum for such meeting.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  Any two or more corporations existing under the laws of the state may merge into a single corporation pursuant to a board resolution and upon the majority vote by shareholders of each constituent corporation at an annual or special meeting.</w:t>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  Every company may at any meeting of its board of directors sell, lease or exchange all or substantially all of its property and assets as its board of directors deems expedient and in the best interests of the company to do so when authorized by a resolution adopted by the holders of a majority of issued shares of a company entitled to vote.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  Every corporation may at any meeting of the board sell, lease or exchange all or substantially all of its property and assets as its board deems expedient and for the best interests of the corporation when so authorized by a resolution adopted by the holders of a majority of the outstanding stock of a corporation entitled to vote.</w:t>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  Any company that is the wholly owned subsidiary of a holding company, or one or more companies which are wholly owned subsidiaries of the same holding company, may amalgamate or merge with holding company or with each other without the vote or consent of shareholders provided that the approval of the board of directors is obtained and that a director or officer of each such company signs a statutory solvency declaration in respect of the relevant company.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  Any corporation owning at least 90% of the outstanding shares of each class of another corporation (subject to certain exceptions) may merge the other corporation into itself and assume all of its obligations without the vote or consent of shareholders; however, in case the parent corporation is not the surviving corporation, the proposed merger shall be approved by a majority of the outstanding stock of the parent corporation entitled to vote at a duly called stockholder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Bermuda</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  Any mortgage or pledge of a corporations property and assets may be authorized without the vote or consent of shareholders, except to the extent that the certificate of incorporation otherwise provides.</w:t>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  Any mortgage, charge or pledge of a companys property and assets may be authorized without the consent of shareholders subject to any restrictions under the bye-laws.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i/>
                <w:sz w:val="20"/>
              </w:rPr>
            </w:pPr>
            <w:r>
              <w:rPr>
                <w:rFonts w:ascii="Times New Roman" w:hAnsi="Times New Roman"/>
                <w:b/>
                <w:i/>
                <w:sz w:val="20"/>
              </w:rPr>
              <w:t>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  Under Bermuda law, the board of directors must consist of at least one director. Following the completion of this offering, our Board of Directors will be composed of nine directors. In accordance with our amended and restated bye-laws, until the Triggering Annual Meeting our directors will be divided into three classes serving staggered three-year terms. From and after the Triggering Annual Meeting, our Board of Directors will be declassified and our directors will be elected to hold office for a one-year term expiring at the next annual general meeting of shareholders.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number of directors is fixed by the bye-laws, and any changes to such number must be approved by the board of directors and/or the shareholders in accordance with the companys bye-laws. Our amended and restated bye-laws will provide that, except in relation to the right of the holders of any series of preference shares to elect additional directors, our Board of Directors shall be a minimum number of six directors and a maximum number of eleven directors, or such number in excess thereof as the Company may from time to time determine by resolution of the Board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board of directors must consist of at least one member.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  Number of board members shall be fixed by the bye-laws, unless the certificate of incorporation fixes the number of directors, in which case a change in the number shall be made only by amendment of the certificate of incorporation.</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i/>
              </w:rPr>
            </w:pPr>
            <w:r>
              <w:rPr>
                <w:b/>
                <w:i/>
              </w:rPr>
              <w:t>Appointment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0"/>
              <w:jc w:val="left"/>
              <w:rPr>
                <w:rFonts w:ascii="Times New Roman" w:hAnsi="Times New Roman"/>
                <w:sz w:val="20"/>
              </w:rPr>
            </w:pPr>
            <w:r>
              <w:rPr>
                <w:rFonts w:ascii="Times New Roman" w:hAnsi="Times New Roman"/>
                <w:sz w:val="20"/>
              </w:rPr>
              <w:t>  Our amended and restated bye-laws will provide that to be elected, directors must receive a majority of the votes cast by shareholders who are entitled to vote at the applicable shareholder meeting; provided that where the number of persons validly proposed for re-election or election as a director is greater than the number of directors to be elected, the persons receiving the most votes (up to the number of directors to be elected) will be elected as directors, and an absolute majority of the votes cast shall not be a prerequisite to the election of such directors. Any one or more vacancies on the Board of</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  Pursuant to the DGCL, unless otherwise provided in a companys certificate of incorporation or bylaws, directors are elected by a plurality of the votes of the shares present in person or represented by proxy at the meeting and entitled to vote on the election of directors. Vacancies and newly created directorships resulting from any increase in the authorized number of directors elected by all of the stockholders having the right to vote as a single class may be filled by a majority of the directors then in office, although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Bermuda</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Directors not filled at any general meeting, and any new vacancy created by the Board of Directors as a result of increasing the size of the Board of Directors, can be filled by the Board. Prior to the Triggering Annual Meeting, a director so appointed shall hold office for a term that shall coincide with the remaining term of its class of directors. From and after the Triggering Annual Meeting, a director so appointed will hold office until the next election of directors and until his or her successor will be duly elected and qualified, subject to prior death, resignation, retirement, disqualification or removal from office.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less than a quorum, or by a sole remaining director.</w:t>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b/>
                <w:i/>
                <w:sz w:val="20"/>
              </w:rPr>
            </w:pPr>
            <w:r>
              <w:rPr>
                <w:rFonts w:ascii="Times New Roman" w:hAnsi="Times New Roman"/>
                <w:b/>
                <w:i/>
                <w:sz w:val="20"/>
              </w:rPr>
              <w:t>Removal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our amended and restated bye-laws to be in effect upon the closing of this offering, subject to the rights of the holders of any series of preferred shares, a director may be removed by the shareholders with or without cause with the affirmative vote of the holders of a majority of the issued shares; provided that from and after the Trigger Event, a director may be removed, only with cause, by a resolution passed by shareholders holding at least 66 2/3% of the issued shares entitled to vote.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  Any director or the entire board of directors may be removed, with or without cause, by the holders of a majority of the shares then entitled to vote at an election of directors, except as follows: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  Unless the certificate of incorporation otherwise provides, in the case of a corporation whose board is classified, stockholders may effect such removal only for cause;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be classes of directors, at an election of the class of directors of which such director is a part.</w:t>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i/>
                <w:sz w:val="20"/>
              </w:rPr>
            </w:pPr>
            <w:r>
              <w:rPr>
                <w:rFonts w:ascii="Times New Roman" w:hAnsi="Times New Roman"/>
                <w:b/>
                <w:i/>
                <w:sz w:val="20"/>
              </w:rPr>
              <w:t>Duties of Directors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Companies Act authorizes the directors of a company, subject to its bye-laws, to exercise all powers of the company except those that are required by the Companies Act or the companys bye-laws to be exercised by the shareholders of the company. Our amended and restated bye-laws to be in effect upon the closing of this offering will provide that our business is to be managed and conducted by our Board of Directors. At common law, members of a board of directors owe a fiduciary duty to the company to act in good faith in their dealings with or on behalf of the company and exercise their powers and fulfill the duties of their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Bermuda</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office honestly. This duty includes the following essential elements: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 duty to act in good faith in the best interests of the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 duty not to make a personal profit from opportunities that arise from the office of director;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 duty to avoid conflicts of interest;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 duty to exercise powers for the purpose for which such powers were intended.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Companies Act imposes a duty on directors and officers of a Bermuda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  to act honestly and in good faith with a view to the best interests of the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  to exercise the care, diligence and skill that a reasonably prudent person would exercise in comparable circumstances;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  to comply with the Companies Act, the regulations and the bye-laws of the company.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Companies Act also imposes various duties on directors and officers of a company with respect to certain matters of management and administration of the company. Under Bermuda law, directors and officers generally owe fiduciary duties to the company itself, not to the companys individual shareholders, creditors or any class thereof. Our shareholders may not have a direct cause of action against our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tc>
      </w:tr>
      <w:tr>
        <w:trPr/>
        <w:tc>
          <w:tcPr>
            <w:tcW w:w="5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i/>
                <w:sz w:val="20"/>
              </w:rPr>
            </w:pPr>
            <w:r>
              <w:rPr>
                <w:rFonts w:ascii="Times New Roman" w:hAnsi="Times New Roman"/>
                <w:b/>
                <w:i/>
                <w:sz w:val="20"/>
              </w:rPr>
              <w:t>Takeovers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  An acquiring party is generally able to acquire compulsorily the common shares of minority holders of a company in the following ways: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  By a procedure under the Companies Act known as a scheme of arrangement. A scheme of arrangement could be effected by obtaining the agreement of the company and of holders of common shares, representing in the aggregate a majority in number and at least 75% in value of the common shareholders present and voting at a court ordered meeting held to consider the scheme of arrangement. The scheme of arrangement must then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  Delaware law provides that a parent corporation, by resolution of its board of directors and without any stockholder vote, may merge with any subsidiary of which it owns at least 90% of each class of its capital stock. Upon any such merger, and in the event the parent corporate does not own all of the stock of the subsidiary, dissenting shareholders of the subsidiary are entitled to certain appraisal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  Delaware law also provides, subject to certain exceptions, that if a person acquires 15% of voting stock of a company, the person is 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Bermuda</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be sanctioned by the Bermuda Supreme Court. If a scheme of arrangement receives all necessary agreements and sanctions, upon the filing of the court order with the Registrar of Companies in Bermuda, all holders of common shares could be compelled to sell their shares under the terms of the scheme of arrangement.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interested stockholder and may not engage in business combinations with the company for a period of three years from the time the person acquired 15% or more of voting stock.</w:t>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Companies Act does not contain specific provisions regarding business combinations between companies organized under the laws of Bermuda and interested shareholders. However, we will include these provisions in our amended and restated bye-laws to be in effect upon the closing of this offering. Specifically, our amended and restated bye-laws to be in effect upon the closing of this offering will contain provisions which prohibit us, subject to certain exceptions, from engaging in business combinations and other specified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Bermuda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Delaware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persons (excluding Bain Charger and its affiliates) for a period of three years after the time of the transaction in which the person acquired 15% of more of our issued voting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i/>
                <w:sz w:val="20"/>
              </w:rPr>
            </w:pPr>
            <w:r>
              <w:rPr>
                <w:rFonts w:ascii="Times New Roman" w:hAnsi="Times New Roman"/>
                <w:b/>
                <w:i/>
                <w:sz w:val="20"/>
              </w:rPr>
              <w:t>Dissenters Rights of Appraisal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 dissenting shareholder (that did not vote in favor of the amalgamation or merger) of a Bermuda exempted company is entitled to be paid the fair value of his or her shares in an amalgamation or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  With limited exceptions, appraisal rights shall be available for the shares of any class or series of stock of a corporation in a merger or consolidation.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  Stockholders of a Delaware corporation participating in certain mergers and other transactions may, depending on the form of consideration the stockholder would receive in the transaction, be entitled to appraisal rights pursuant to which the stockholder would receive, in lieu of the consideration the stockholder would otherwise receive for its shares in the transaction, cash in an amount equal to the fair value of its shares as determined by the Delaware Court of Chancery.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certificate of incorporation may provide that appraisal rights are available for shares as a result of an amendment to the certificate of incorporation, any merger or consolidation or the sale of all or substantially all of the assets.</w:t>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i/>
                <w:sz w:val="20"/>
              </w:rPr>
            </w:pPr>
            <w:r>
              <w:rPr>
                <w:rFonts w:ascii="Times New Roman" w:hAnsi="Times New Roman"/>
                <w:b/>
                <w:i/>
                <w:sz w:val="20"/>
              </w:rPr>
              <w:t>Dissolution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Bermuda law, a solvent company may be wound up by way of a shareholders voluntary liquidation. Prior to the company entering liquidation, a majority of the directors shall each make a statutory declaration, which states that the directors have made a full enquiry into the affairs of the company and have formed the opinion that the company will be able to pay its debts within a period of 12 months of the commencement of the winding up and must file the statutory declaration with the Registrar of Companies in Bermuda. The general meeting will be convened primarily for the purposes of passing a resolution that the company be wound up voluntarily and appointing a liquidator. The winding up of the company is deemed to commence at the time of the passing of the resolution.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Delaware law, a corporation may voluntarily dissolve (1) if a majority of the board of directors adopts a resolution to that effect and the holders of a majority of the issued and outstanding shares entitled to vote thereon vote for such dissolution; or (2) if all shareholders entitled to vote thereon consent in writing to such dissolution.</w:t>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i/>
                <w:sz w:val="20"/>
              </w:rPr>
            </w:pPr>
            <w:r>
              <w:rPr>
                <w:rFonts w:ascii="Times New Roman" w:hAnsi="Times New Roman"/>
                <w:b/>
                <w:i/>
                <w:sz w:val="20"/>
              </w:rPr>
              <w:t>Shareholders Derivative Actions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  Shareholder class actions and derivative actions are generally not available to shareholders under Bermuda law in the same way as under the laws 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  In any derivative suit instituted by a stockholder of a corporation, it shall be averred in the complaint that the plaintiff was a stockholder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Bermuda</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the United States.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our amended and restated bye-laws to be in effect upon the closing of this offering and as permitted by Bermuda law, each shareholder will waive any claim or right of action against our directors or officers for any action taken by directors or officers in the performance of their duties, except for actions involving fraud or dishonesty or any claims of violations of the Securities Act or the Exchange Act. Additionally, to the fullest extent permitted by applicable law, a director or officer of the Company will not be liable to the Company or its shareholders for breach of fiduciary duty as a director or officer.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corporation at the time of the transaction of which he complains or that such stockholders stock thereafter devolved upon such stockholder by operation of law.</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DGCL authorizes corporations to limit or eliminate the personal liability of directors and certain officers to corporations and their stockholders for monetary damages for breaches of directors fiduciary duties, subject to certain exceptions. Currently, the DGCL does not permit exculpation of liability for: (i) a director or officer for any breach of the directors or officers duty of loyalty to a corporation or its stockholders; (ii) a director or officer for acts or omissions not in good faith or which involve intentional misconduct or a knowing violation of law; (iii) a director for unlawful payment of dividends or unlawful stock repurchases or redemptions, as provided under Section 174 of the DGCL; (iv) a director or officer for any transaction from which the director or officer derived an improper personal benefit; or (v) an officer in any action by or in the right of the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744414_19"/>
      <w:bookmarkEnd w:id="21"/>
      <w:r>
        <w:rPr>
          <w:rFonts w:ascii="Times New Roman" w:hAnsi="Times New Roman"/>
          <w:b/>
          <w:sz w:val="20"/>
        </w:rPr>
        <w:t xml:space="preserve">MATERIAL BERMUDA, IRISH AND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the material Bermuda, Irish and U.S. federal income tax considerations that may be relevant to an investment decision by a potential investor with respect to our common shares. </w:t>
      </w:r>
    </w:p>
    <w:p>
      <w:pPr>
        <w:pStyle w:val="TextBody"/>
        <w:bidi w:val="0"/>
        <w:spacing w:before="240" w:after="0"/>
        <w:jc w:val="left"/>
        <w:rPr>
          <w:rFonts w:ascii="Times New Roman" w:hAnsi="Times New Roman"/>
          <w:b/>
          <w:sz w:val="20"/>
        </w:rPr>
      </w:pPr>
      <w:r>
        <w:rPr>
          <w:rFonts w:ascii="Times New Roman" w:hAnsi="Times New Roman"/>
          <w:b/>
          <w:sz w:val="20"/>
        </w:rPr>
        <w:t xml:space="preserve">Bermuda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Under current law, we are not subject to tax on income or profits tax, withholding tax, capital gains tax, capital transfer tax, estate duty or inheritance tax payable by us or by our shareholders in respect of our common shares. Furthermore, we have obtained an assurance from the Minister of Finance of Bermuda under the Exempted Undertakings Tax Protection Act 1966 (the EUTP Act)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As a result of changes made to the EUTP Act by the CIT Act (as defined below), this assurance has been made subject to the application of any taxes pursuant to the CIT Act, as described further below.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2021, the OECD published the Pillar Two / Global Minimum Tax Rules which are aimed at ensuring that large multinational enterprises will be subject to a global minimum 15% tax rate (Pillar Two). The European Union Council Directive (EU) 2022/2523, adopted on December 15, 2022, requires that E.U. Member States implement the Pillar Two rules into domestic law by December 31, 2023. The Bermuda Government has responded to the Pillar Two initiative passing the Corporate Income Tax Act 2023 (the CIT Act), on December 27, 2023, to introduce a corporate income tax on certain Bermuda entities with effect from January 1, 2025. As a result of changes made to the EUTP Act by the CIT Act, this assurance has been made subject to the application of any taxes pursuant to the CIT Act, as described further below. </w:t>
      </w:r>
    </w:p>
    <w:p>
      <w:pPr>
        <w:pStyle w:val="TextBody"/>
        <w:bidi w:val="0"/>
        <w:spacing w:before="240" w:after="0"/>
        <w:jc w:val="left"/>
        <w:rPr>
          <w:rFonts w:ascii="Times New Roman" w:hAnsi="Times New Roman"/>
          <w:sz w:val="20"/>
        </w:rPr>
      </w:pPr>
      <w:r>
        <w:rPr>
          <w:rFonts w:ascii="Times New Roman" w:hAnsi="Times New Roman"/>
          <w:sz w:val="20"/>
        </w:rPr>
        <w:t xml:space="preserve">In the 2023 Budget, the Bermuda Government announced the formation of an International Tax Working Group consisting of specialists in international tax matters and representatives of various bodies whose members may be directly impacted by such to examine how Bermuda can appropriately implement the Pillar Two initiative. The Working Group reported its findings and provided recommendations to the Bermuda Government in July 2023. The Bermuda Government subsequently issued three public consultation papers as part of its considerations on the introduction of a corporate income tax in Bermuda, on August 8, 2023, October 5, 2023 and November 10, 2023. On December 15, 2023, Bermuda passed the CIT Act, which became fully operative with respect to the imposition of corporate income tax on January 1, 2025. The Corporate Income Tax Act 2023 Amendment Regulations 2024 (the Regulations) amending the CIT Act were made on 20 December 2024 by the Minister of Finance in Bermuda. (For the purposes of this summary, references to CIT Act are to the CIT Act, as amended by the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Ministry of Finance in Bermuda has issued guidance in the form of Frequently Asked Questions (FAQs) with respect to the CIT Act (mostly recently dated November 18, 2024) and intends to develop further FAQs in response to developments in the application of the law, and in international tax laws and practices in other jurisdictions, and which may impact the application of the CIT Act in practice, and further changes may apply. </w:t>
      </w:r>
    </w:p>
    <w:p>
      <w:pPr>
        <w:pStyle w:val="TextBody"/>
        <w:bidi w:val="0"/>
        <w:spacing w:before="240" w:after="0"/>
        <w:jc w:val="left"/>
        <w:rPr>
          <w:rFonts w:ascii="Times New Roman" w:hAnsi="Times New Roman"/>
          <w:sz w:val="20"/>
        </w:rPr>
      </w:pPr>
      <w:r>
        <w:rPr>
          <w:rFonts w:ascii="Times New Roman" w:hAnsi="Times New Roman"/>
          <w:sz w:val="20"/>
        </w:rPr>
        <w:t xml:space="preserve">A primary stated objective in developing the corporate income tax is to ensure to the greatest extent possible that it is not a material incremental expense by ensuring that the Bermuda corporate income tax qualifies as a Covered Tax for the purposes of the GloBE Rules and thereby reduce the amount, if any, of top-up tax payable to other jurisdictions and prevent the double taxation of profits earned in Bermuda. A second stated objective is the desire to remain aligned so far as practicable with the GloBE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CIT Act, Bermuda corporate income tax will be chargeable in respect of fiscal years beginning on or after January 1, 2025 and will apply only to Bermuda Constituent Entities (as defined in the CIT Act) of an In Scope MNE Group (as defined in the CIT Act). </w:t>
      </w:r>
    </w:p>
    <w:p>
      <w:pPr>
        <w:pStyle w:val="TextBody"/>
        <w:bidi w:val="0"/>
        <w:spacing w:before="240" w:after="0"/>
        <w:jc w:val="left"/>
        <w:rPr>
          <w:rFonts w:ascii="Times New Roman" w:hAnsi="Times New Roman"/>
          <w:sz w:val="20"/>
        </w:rPr>
      </w:pPr>
      <w:r>
        <w:rPr>
          <w:rFonts w:ascii="Times New Roman" w:hAnsi="Times New Roman"/>
          <w:sz w:val="20"/>
        </w:rPr>
        <w:t xml:space="preserve">A Bermuda Constituent Entity is a Bermuda Tax Resident Entity or a Bermuda Permanent Establishment (each as defined in the CIT Act). A Bermuda Tax Resident Entity means an entity that is incorporated, formed or organised in Bermuda unless the entity is tax resident in another jurisdiction under the laws of that jurisdiction based on its location of management and control. A Bermuda Permanent Establishment means A fixed place of business in Bermuda through which the business of an entity which is not a Bermuda Tax Resident Entity is wholly or partly carried on as determined in accordance with Article 5 of the OECD Model Tax Convention. </w:t>
      </w:r>
    </w:p>
    <w:p>
      <w:pPr>
        <w:pStyle w:val="TextBody"/>
        <w:bidi w:val="0"/>
        <w:spacing w:before="240" w:after="0"/>
        <w:jc w:val="left"/>
        <w:rPr>
          <w:rFonts w:ascii="Times New Roman" w:hAnsi="Times New Roman"/>
          <w:sz w:val="20"/>
        </w:rPr>
      </w:pPr>
      <w:r>
        <w:rPr>
          <w:rFonts w:ascii="Times New Roman" w:hAnsi="Times New Roman"/>
          <w:sz w:val="20"/>
        </w:rPr>
        <w:t xml:space="preserve">An In Scope MNE Group for these purposes is a group which meets the relevant revenue threshold (EUR 750 million or more in annual revenues in at least two of the four fiscal years immediately preceding the fiscal year in question) and is a MNE Group (being a group (as defined in the CIT Act) comprising of an ultimate parent entity and one or more entities (which includes permanent establishments) located in another jurisdiction). For MNE Groups that meet the revenue threshold, corporate income tax will generally apply to each Bermuda Tax Resident Entity and Bermuda Permanent Establishment that is a constituent entity of such MNE Group. </w:t>
      </w:r>
    </w:p>
    <w:p>
      <w:pPr>
        <w:pStyle w:val="TextBody"/>
        <w:bidi w:val="0"/>
        <w:spacing w:before="240" w:after="0"/>
        <w:jc w:val="left"/>
        <w:rPr>
          <w:rFonts w:ascii="Times New Roman" w:hAnsi="Times New Roman"/>
          <w:sz w:val="20"/>
        </w:rPr>
      </w:pPr>
      <w:r>
        <w:rPr>
          <w:rFonts w:ascii="Times New Roman" w:hAnsi="Times New Roman"/>
          <w:sz w:val="20"/>
        </w:rPr>
        <w:t xml:space="preserve">We note that, following the consummation of this offering and on the assumption that Kestra Medical Technologies, Ltd. will become tax resident in Ireland based under the laws of Ireland based on its location of management and control (as described in the section titled Organizational Transactions). Based on this and the assumption that Kestra Medical Technologies, Ltd. will not be a Bermuda Permanent Establishment (as defined in the CIT Act), we anticipate that Kestra Medical Technologies, Ltd. will not be a Bermuda Constituent Entity Group for purposes of the CIT Act and that it will not be considered in scope for the purposes of the CIT Act. </w:t>
      </w:r>
    </w:p>
    <w:p>
      <w:pPr>
        <w:pStyle w:val="TextBody"/>
        <w:bidi w:val="0"/>
        <w:spacing w:before="240" w:after="0"/>
        <w:jc w:val="left"/>
        <w:rPr>
          <w:rFonts w:ascii="Times New Roman" w:hAnsi="Times New Roman"/>
          <w:b/>
          <w:sz w:val="20"/>
        </w:rPr>
      </w:pPr>
      <w:r>
        <w:rPr>
          <w:rFonts w:ascii="Times New Roman" w:hAnsi="Times New Roman"/>
          <w:b/>
          <w:sz w:val="20"/>
        </w:rPr>
        <w:t xml:space="preserve">Irish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summary of the main Irish tax considerations that will become applicable to certain investors who are the owners of our common shares following the establishment of the Companys tax residency in Ireland following the consummation of this offering. It is based on existing Irish law and our understanding of the practices of the Irish Revenue Commissioners on the date of this document. Legislative, administrative or judicial changes may modify the tax consequences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do not constitute tax advice and are intended only as a general guide. Furthermore, this information applies only to our shares that are held as capital assets and does not apply to all categories of shareholders, such as dealers in securities, trustees, insurance companies, collective investment schemes or shareholders who have, or who are deemed to have, acquired their shares by virtue of an office or employment. This summary is not exhaustive and shareholders should consult their own tax advisers as to the tax consequences in Ireland, or other relevant jurisdictions of this offering, including the acquisition, ownership and disposition of our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Tax on Chargeable Gains </w:t>
      </w:r>
    </w:p>
    <w:p>
      <w:pPr>
        <w:pStyle w:val="TextBody"/>
        <w:bidi w:val="0"/>
        <w:spacing w:before="240" w:after="0"/>
        <w:jc w:val="left"/>
        <w:rPr>
          <w:rFonts w:ascii="Times New Roman" w:hAnsi="Times New Roman"/>
          <w:sz w:val="20"/>
        </w:rPr>
      </w:pPr>
      <w:r>
        <w:rPr>
          <w:rFonts w:ascii="Times New Roman" w:hAnsi="Times New Roman"/>
          <w:sz w:val="20"/>
        </w:rPr>
        <w:t xml:space="preserve">A disposal of our shares by a shareholder who is not resident or ordinarily resident for tax purposes in Ireland should not give rise to Irish tax on any chargeable gain realized on such disposal unless such shares are used, held or acquired for the purposes of a trade or business carried on by such shareholder through a branch or agency in Ireland. </w:t>
      </w:r>
    </w:p>
    <w:p>
      <w:pPr>
        <w:pStyle w:val="TextBody"/>
        <w:bidi w:val="0"/>
        <w:spacing w:before="240" w:after="0"/>
        <w:jc w:val="left"/>
        <w:rPr>
          <w:rFonts w:ascii="Times New Roman" w:hAnsi="Times New Roman"/>
          <w:sz w:val="20"/>
        </w:rPr>
      </w:pPr>
      <w:r>
        <w:rPr>
          <w:rFonts w:ascii="Times New Roman" w:hAnsi="Times New Roman"/>
          <w:sz w:val="20"/>
        </w:rPr>
        <w:t xml:space="preserve">A disposal of our shares by an Irish resident or ordinarily resident shareholder may, depending on the circumstances (including the availability of exemptions and reliefs), give rise to a chargeable gain or allowable loss for that shareholder. The rate of capital gains tax in Ireland is currently 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holder of our shares who is an individual and who is temporarily non-resident in Ireland may, under Irish anti-avoidance legislation, be liable to Irish tax on any chargeable gain realized on a disposal during the period in which such individual is non-resident.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Dividend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Dividend withholding tax, or DWT, (currently at a rate of 25%) may arise in respect of dividends or distributions from an Irish tax resident company, such as the Company when it establishes tax residence in Ireland unless an exemption applies. Where DWT does arise in respect of dividends, the company is responsible for deducting DWT at source and forwarding the relevant payment to the Irish Revenue Commissioners. </w:t>
      </w:r>
    </w:p>
    <w:p>
      <w:pPr>
        <w:pStyle w:val="TextBody"/>
        <w:bidi w:val="0"/>
        <w:spacing w:before="240" w:after="0"/>
        <w:jc w:val="left"/>
        <w:rPr>
          <w:rFonts w:ascii="Times New Roman" w:hAnsi="Times New Roman"/>
          <w:sz w:val="20"/>
        </w:rPr>
      </w:pPr>
      <w:r>
        <w:rPr>
          <w:rFonts w:ascii="Times New Roman" w:hAnsi="Times New Roman"/>
          <w:sz w:val="20"/>
        </w:rPr>
        <w:t xml:space="preserve">Certain shareholders are entitled to an exemption from DWT. In particular, dividends to a non-Irish resident shareholder should not be subject to DWT if the shareholder is beneficially entitled to the dividend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shareholder resident for tax purposes in a relevant territory and the individual is neither resident nor ordinarily resident in Ireland;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corporate shareholder resident for tax purposes in a relevant territory provided that the corporate shareholder is not under the control, whether directly or indirectly, of a person or persons who is or are resident in Ireland;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corporate shareholder that is not resident for tax purposes in Ireland and which is ultimately controlled, directly or indirectly, by persons resident in a relevant territory;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corporate shareholder that is not resident for tax purposes in Ireland and whose principal class of shares (or those of its 75% parent) is substantially and regularly traded on a stock exchange in Ireland, a recognized stock exchange in a relevant territory or on such other stock exchange approved by the Irish Minister for Finance;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corporate shareholder that is not resident for tax purposes in Ireland and is wholly owned, directly or indirectly, by two or more companies where the principal class of shares of each of such companies is substantially and regularly traded on a stock exchange in Ireland, a recognized stock exchange in a relevant territory or on such other stock exchange approved by the Irish Minister for Finance, and provided that, in all cases noted above (but subject to the exception in the paragraph below regarding U.S. Resident Shareholders), the shareholder has provided a relevant Irish DWT declaration form to his or her broker before the record date for the dividend (in the case of shares held through DTC), and the relevant information is further transmitted to the Company (in the case of shares held through DTC) or to our transfer agent (in the case of shares held outside of DTC).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list of relevant territories for the purposes of DWT is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88"/>
        <w:gridCol w:w="300"/>
        <w:gridCol w:w="3177"/>
        <w:gridCol w:w="120"/>
        <w:gridCol w:w="3020"/>
      </w:tblGrid>
      <w:tr>
        <w:trPr/>
        <w:tc>
          <w:tcPr>
            <w:tcW w:w="3588"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  Albania</w:t>
            </w:r>
          </w:p>
        </w:tc>
        <w:tc>
          <w:tcPr>
            <w:tcW w:w="300"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  Iceland</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  Russia</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  Armenia</w:t>
            </w:r>
          </w:p>
        </w:tc>
        <w:tc>
          <w:tcPr>
            <w:tcW w:w="300"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  India</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  Saudi Arabia</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  Australia</w:t>
            </w:r>
          </w:p>
        </w:tc>
        <w:tc>
          <w:tcPr>
            <w:tcW w:w="300"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  Israel</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  Serbia</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  Austria</w:t>
            </w:r>
          </w:p>
        </w:tc>
        <w:tc>
          <w:tcPr>
            <w:tcW w:w="300"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  Italy</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  Singapore</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  Bahrain</w:t>
            </w:r>
          </w:p>
        </w:tc>
        <w:tc>
          <w:tcPr>
            <w:tcW w:w="300"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  Japan</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  Slovak Republic</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  Belarus</w:t>
            </w:r>
          </w:p>
        </w:tc>
        <w:tc>
          <w:tcPr>
            <w:tcW w:w="300"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  Kazakhstan</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  Slovenia</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  Belgium</w:t>
            </w:r>
          </w:p>
        </w:tc>
        <w:tc>
          <w:tcPr>
            <w:tcW w:w="300"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  Kosovo</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  South Africa</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  Bosnia &amp; Herzegovina</w:t>
            </w:r>
          </w:p>
        </w:tc>
        <w:tc>
          <w:tcPr>
            <w:tcW w:w="300"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  Kuwait</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  Spain</w:t>
            </w:r>
          </w:p>
        </w:tc>
      </w:tr>
      <w:tr>
        <w:trPr/>
        <w:tc>
          <w:tcPr>
            <w:tcW w:w="3588" w:type="dxa"/>
            <w:tcBorders/>
          </w:tcPr>
          <w:p>
            <w:pPr>
              <w:pStyle w:val="TableContents"/>
              <w:bidi w:val="0"/>
              <w:spacing w:before="0" w:after="0"/>
              <w:jc w:val="left"/>
              <w:rPr>
                <w:rFonts w:ascii="Times New Roman" w:hAnsi="Times New Roman"/>
                <w:sz w:val="20"/>
              </w:rPr>
            </w:pPr>
            <w:r>
              <w:rPr>
                <w:rFonts w:ascii="Times New Roman" w:hAnsi="Times New Roman"/>
                <w:sz w:val="20"/>
              </w:rPr>
              <w:t>  Botswana</w:t>
            </w:r>
          </w:p>
        </w:tc>
        <w:tc>
          <w:tcPr>
            <w:tcW w:w="300"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  Latvia</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  Sweden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338"/>
        <w:gridCol w:w="303"/>
        <w:gridCol w:w="3239"/>
        <w:gridCol w:w="121"/>
        <w:gridCol w:w="3204"/>
      </w:tblGrid>
      <w:tr>
        <w:trPr/>
        <w:tc>
          <w:tcPr>
            <w:tcW w:w="3338"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4" w:type="dxa"/>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  Bulgaria</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  Lithuania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  Switzerland</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  Canada</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  Luxembourg</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  Thailand</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  Chile</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  Macedonia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  The Republic of Korea</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  China</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  Malaysia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  The Republic of Turkey</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  Croatia</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  Malta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  Ukraine</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  Cyprus</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  Mexico</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  United Arab Emirates</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  Czech Republic</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  Moldova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  United Kingdom</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  Denmark</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  Montenegro</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  United States</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  Egypt</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  Morocco</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  Uzbekistan</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  Estonia</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  Netherlands</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  Vietnam</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  Ethiopia</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  New Zealand</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  Zambia</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  Finland</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  Norway</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283"/>
              <w:jc w:val="left"/>
              <w:rPr>
                <w:sz w:val="4"/>
                <w:szCs w:val="4"/>
              </w:rPr>
            </w:pPr>
            <w:r>
              <w:rPr>
                <w:sz w:val="4"/>
                <w:szCs w:val="4"/>
              </w:rPr>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  France</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  Pakistan</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283"/>
              <w:jc w:val="left"/>
              <w:rPr>
                <w:sz w:val="4"/>
                <w:szCs w:val="4"/>
              </w:rPr>
            </w:pPr>
            <w:r>
              <w:rPr>
                <w:sz w:val="4"/>
                <w:szCs w:val="4"/>
              </w:rPr>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  Georgia</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  Panama</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283"/>
              <w:jc w:val="left"/>
              <w:rPr>
                <w:sz w:val="4"/>
                <w:szCs w:val="4"/>
              </w:rPr>
            </w:pPr>
            <w:r>
              <w:rPr>
                <w:sz w:val="4"/>
                <w:szCs w:val="4"/>
              </w:rPr>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  Germany</w:t>
            </w:r>
          </w:p>
        </w:tc>
        <w:tc>
          <w:tcPr>
            <w:tcW w:w="303"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  Poland</w:t>
            </w:r>
          </w:p>
        </w:tc>
        <w:tc>
          <w:tcPr>
            <w:tcW w:w="121" w:type="dxa"/>
            <w:tcBorders/>
            <w:vAlign w:val="bottom"/>
          </w:tcPr>
          <w:p>
            <w:pPr>
              <w:pStyle w:val="TableContents"/>
              <w:bidi w:val="0"/>
              <w:spacing w:before="0" w:after="283"/>
              <w:jc w:val="left"/>
              <w:rPr/>
            </w:pPr>
            <w:r>
              <w:rPr/>
              <w:t>  </w:t>
            </w:r>
          </w:p>
        </w:tc>
        <w:tc>
          <w:tcPr>
            <w:tcW w:w="320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paying any dividend, the Company intends to put in place an agreement with an entity which is recognized by the Irish Revenue Commissioners as a qualifying intermediary which satisfies one of the Irish requirements for dividends to be paid free of DWT to certain shareholders who hold their shares through DTC. </w:t>
      </w:r>
    </w:p>
    <w:p>
      <w:pPr>
        <w:pStyle w:val="TextBody"/>
        <w:bidi w:val="0"/>
        <w:spacing w:before="240" w:after="0"/>
        <w:jc w:val="left"/>
        <w:rPr>
          <w:rFonts w:ascii="Times New Roman" w:hAnsi="Times New Roman"/>
          <w:b/>
          <w:i/>
          <w:sz w:val="20"/>
        </w:rPr>
      </w:pPr>
      <w:r>
        <w:rPr>
          <w:rFonts w:ascii="Times New Roman" w:hAnsi="Times New Roman"/>
          <w:b/>
          <w:i/>
          <w:sz w:val="20"/>
        </w:rPr>
        <w:t xml:space="preserve">U.S. Resident Shareholders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in respect of shares in an Irish resident company that are owned by residents of the United States and held through DTC will not be subject to DWT provided that the address of the beneficial owner of the shares in the records of the broker is in the United States. We strongly recommend that such shareholders ensure that their information has been properly recorded by their brokers (so that such brokers can provide the relevant information to a qualifying intermediary appointed by us).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in respect of shares in an Irish resident company that are owned by residents of the United States and held outside of DTC will not be subject to DWT provided that the shareholder has completed the relevant Irish DWT declaration form and this declaration form remains valid. Such shareholders must provide the relevant Irish DWT declaration form to our transfer agent at least seven business days before the record date for the first dividend payment to which they are entitled. </w:t>
      </w:r>
    </w:p>
    <w:p>
      <w:pPr>
        <w:pStyle w:val="TextBody"/>
        <w:bidi w:val="0"/>
        <w:spacing w:before="240" w:after="0"/>
        <w:jc w:val="left"/>
        <w:rPr>
          <w:rFonts w:ascii="Times New Roman" w:hAnsi="Times New Roman"/>
          <w:sz w:val="20"/>
        </w:rPr>
      </w:pPr>
      <w:r>
        <w:rPr>
          <w:rFonts w:ascii="Times New Roman" w:hAnsi="Times New Roman"/>
          <w:sz w:val="20"/>
        </w:rPr>
        <w:t xml:space="preserve">If a U.S resident shareholder receives a dividend subject to DWT, that shareholder should generally be able to make an application for a refund of DWT from the Irish Revenue Commissioners subject to certain time limits.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Residents of Relevant Territories other than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Shareholders who are residents of relevant territories other than the United States (regardless of when such shareholders acquired their shares) must complete the appropriate Irish DWT declaration form in order to receive dividends without DWT. </w:t>
      </w:r>
    </w:p>
    <w:p>
      <w:pPr>
        <w:pStyle w:val="TextBody"/>
        <w:bidi w:val="0"/>
        <w:spacing w:before="240" w:after="0"/>
        <w:jc w:val="left"/>
        <w:rPr>
          <w:rFonts w:ascii="Times New Roman" w:hAnsi="Times New Roman"/>
          <w:sz w:val="20"/>
        </w:rPr>
      </w:pPr>
      <w:r>
        <w:rPr>
          <w:rFonts w:ascii="Times New Roman" w:hAnsi="Times New Roman"/>
          <w:sz w:val="20"/>
        </w:rPr>
        <w:t xml:space="preserve">Shareholders must provide the appropriate Irish DWT declaration form to their brokers (so that such brokers can provide the relevant information to a qualifying intermediary appointed by us) before the record date for the first dividend to which they are entitled (in the case of shares held through DTC), or to our transfer agent at least seven business days before such record date (in the case of shares held outside of DTC). We strongly recommend that such shareholders complete the appropriate Irish DWT declaration form and provide them to their brokers or our transfer agent as soon as possible.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shareholder who is resident in a relevant territory and entitled to an exemption from our DWT receives a dividend subject to DWT, that shareholder should generally be able to make an application for a refund of DWT from the Irish Revenue Commissioners subject to certain time limits.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Irish Resident Shareholders </w:t>
      </w:r>
    </w:p>
    <w:p>
      <w:pPr>
        <w:pStyle w:val="TextBody"/>
        <w:bidi w:val="0"/>
        <w:spacing w:before="240" w:after="0"/>
        <w:jc w:val="left"/>
        <w:rPr>
          <w:rFonts w:ascii="Times New Roman" w:hAnsi="Times New Roman"/>
          <w:sz w:val="20"/>
        </w:rPr>
      </w:pPr>
      <w:r>
        <w:rPr>
          <w:rFonts w:ascii="Times New Roman" w:hAnsi="Times New Roman"/>
          <w:sz w:val="20"/>
        </w:rPr>
        <w:t xml:space="preserve">Irish tax resident or ordinarily resident shareholders will generally be subject to DWT in respect of dividends or distributions received from an Irish resident company. </w:t>
      </w:r>
    </w:p>
    <w:p>
      <w:pPr>
        <w:pStyle w:val="TextBody"/>
        <w:bidi w:val="0"/>
        <w:spacing w:before="240" w:after="0"/>
        <w:jc w:val="left"/>
        <w:rPr>
          <w:rFonts w:ascii="Times New Roman" w:hAnsi="Times New Roman"/>
          <w:sz w:val="20"/>
        </w:rPr>
      </w:pPr>
      <w:r>
        <w:rPr>
          <w:rFonts w:ascii="Times New Roman" w:hAnsi="Times New Roman"/>
          <w:sz w:val="20"/>
        </w:rPr>
        <w:t xml:space="preserve">Irish tax resident or ordinarily resident shareholders that are entitled to receive dividends without DWT must complete the relevant Irish DWT declaration form and provide the declaration form to their brokers (so that such brokers can provide the relevant information to a qualifying intermediary appointed by us) before the record date for the first dividend to which they are entitled (in the case of shares held through DTC), or to our transfer agent at least seven business days before such record date (in the case of shares held outside of DTC). </w:t>
      </w:r>
    </w:p>
    <w:p>
      <w:pPr>
        <w:pStyle w:val="TextBody"/>
        <w:bidi w:val="0"/>
        <w:spacing w:before="240" w:after="0"/>
        <w:jc w:val="left"/>
        <w:rPr>
          <w:rFonts w:ascii="Times New Roman" w:hAnsi="Times New Roman"/>
          <w:sz w:val="20"/>
        </w:rPr>
      </w:pPr>
      <w:r>
        <w:rPr>
          <w:rFonts w:ascii="Times New Roman" w:hAnsi="Times New Roman"/>
          <w:sz w:val="20"/>
        </w:rPr>
        <w:t xml:space="preserve">Irish tax resident or ordinarily resident shareholders who are not entitled to an exemption from DWT and who are subject to Irish tax should consult their own tax adviser. </w:t>
      </w:r>
    </w:p>
    <w:p>
      <w:pPr>
        <w:pStyle w:val="TextBody"/>
        <w:bidi w:val="0"/>
        <w:spacing w:before="240" w:after="0"/>
        <w:jc w:val="left"/>
        <w:rPr>
          <w:rFonts w:ascii="Times New Roman" w:hAnsi="Times New Roman"/>
          <w:b/>
          <w:i/>
          <w:sz w:val="20"/>
        </w:rPr>
      </w:pPr>
      <w:r>
        <w:rPr>
          <w:rFonts w:ascii="Times New Roman" w:hAnsi="Times New Roman"/>
          <w:b/>
          <w:i/>
          <w:sz w:val="20"/>
        </w:rPr>
        <w:t xml:space="preserve">Other Persons </w:t>
      </w:r>
    </w:p>
    <w:p>
      <w:pPr>
        <w:pStyle w:val="TextBody"/>
        <w:bidi w:val="0"/>
        <w:spacing w:before="240" w:after="0"/>
        <w:jc w:val="left"/>
        <w:rPr>
          <w:rFonts w:ascii="Times New Roman" w:hAnsi="Times New Roman"/>
          <w:sz w:val="20"/>
        </w:rPr>
      </w:pPr>
      <w:r>
        <w:rPr>
          <w:rFonts w:ascii="Times New Roman" w:hAnsi="Times New Roman"/>
          <w:sz w:val="20"/>
        </w:rPr>
        <w:t xml:space="preserve">Shareholders that do not fall within one of the categories mentioned above may fall within other exemptions from DWT.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is exempt from DWT but receives a dividend subject to DWT, that shareholder may be able to claim a refund of DWT from the Irish Revenue Commissioners subject to certain time limits.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Income Tax on Dividends </w:t>
      </w:r>
    </w:p>
    <w:p>
      <w:pPr>
        <w:pStyle w:val="TextBody"/>
        <w:bidi w:val="0"/>
        <w:spacing w:before="240" w:after="0"/>
        <w:jc w:val="left"/>
        <w:rPr>
          <w:rFonts w:ascii="Times New Roman" w:hAnsi="Times New Roman"/>
          <w:sz w:val="20"/>
        </w:rPr>
      </w:pPr>
      <w:r>
        <w:rPr>
          <w:rFonts w:ascii="Times New Roman" w:hAnsi="Times New Roman"/>
          <w:sz w:val="20"/>
        </w:rPr>
        <w:t xml:space="preserve">Non-Irish Resident Shareholders. A shareholder who is not resident or ordinarily resident for tax purposes in Ireland and who is entitled to an exemption from DWT, generally has no liability to Irish income tax or income charges on a dividend from an Irish resident company unless that shareholder holds the shares through a branch or agency which carries on a trade in Ireland. </w:t>
      </w:r>
    </w:p>
    <w:p>
      <w:pPr>
        <w:pStyle w:val="TextBody"/>
        <w:bidi w:val="0"/>
        <w:spacing w:before="240" w:after="0"/>
        <w:jc w:val="left"/>
        <w:rPr>
          <w:rFonts w:ascii="Times New Roman" w:hAnsi="Times New Roman"/>
          <w:sz w:val="20"/>
        </w:rPr>
      </w:pPr>
      <w:r>
        <w:rPr>
          <w:rFonts w:ascii="Times New Roman" w:hAnsi="Times New Roman"/>
          <w:sz w:val="20"/>
        </w:rPr>
        <w:t xml:space="preserve">A shareholder who is not resident or ordinarily resident for tax purposes in Ireland and who is not entitled to an exemption from DWT, generally has no additional liability to Irish income tax or income charges unless that shareholder holds the shares through a branch or agency which carries on a trade in Ireland. The shareholders liability to tax is effectively limited to the amount of DWT already deducted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Irish Resident Shareholders. Irish resident or ordinarily resident individual shareholders may be subject to Irish income tax and income charges such as pay related social insurance (PRSI) and the Universal Social Charge (USC) on dividends received from us. Such shareholders should consult their own tax adviser. Irish resident corporate shareholders should not be subject to tax on dividends from us on the basis that the dividend is not in respect of preference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Stamp Duty </w:t>
      </w:r>
    </w:p>
    <w:p>
      <w:pPr>
        <w:pStyle w:val="TextBody"/>
        <w:bidi w:val="0"/>
        <w:spacing w:before="240" w:after="0"/>
        <w:jc w:val="left"/>
        <w:rPr>
          <w:rFonts w:ascii="Times New Roman" w:hAnsi="Times New Roman"/>
          <w:sz w:val="20"/>
        </w:rPr>
      </w:pPr>
      <w:r>
        <w:rPr>
          <w:rFonts w:ascii="Times New Roman" w:hAnsi="Times New Roman"/>
          <w:sz w:val="20"/>
        </w:rPr>
        <w:t xml:space="preserve">Irish stamp duty should not be payable in respect of transfers of our common shares for cash. </w:t>
      </w:r>
    </w:p>
    <w:p>
      <w:pPr>
        <w:pStyle w:val="TextBody"/>
        <w:bidi w:val="0"/>
        <w:spacing w:before="240" w:after="0"/>
        <w:jc w:val="left"/>
        <w:rPr>
          <w:rFonts w:ascii="Times New Roman" w:hAnsi="Times New Roman"/>
          <w:b/>
          <w:i/>
          <w:sz w:val="20"/>
        </w:rPr>
      </w:pPr>
      <w:r>
        <w:rPr>
          <w:rFonts w:ascii="Times New Roman" w:hAnsi="Times New Roman"/>
          <w:b/>
          <w:i/>
          <w:sz w:val="20"/>
        </w:rPr>
        <w:t xml:space="preserve">Capital Acquisitions Tax </w:t>
      </w:r>
    </w:p>
    <w:p>
      <w:pPr>
        <w:pStyle w:val="TextBody"/>
        <w:bidi w:val="0"/>
        <w:spacing w:before="240" w:after="0"/>
        <w:jc w:val="left"/>
        <w:rPr>
          <w:rFonts w:ascii="Times New Roman" w:hAnsi="Times New Roman"/>
          <w:sz w:val="20"/>
        </w:rPr>
      </w:pPr>
      <w:r>
        <w:rPr>
          <w:rFonts w:ascii="Times New Roman" w:hAnsi="Times New Roman"/>
          <w:sz w:val="20"/>
        </w:rPr>
        <w:t xml:space="preserve">Irish capital acquisitions tax comprises principally gift tax and inheritance tax on property situated in Ireland for capital acquisitions tax purposes or otherwise within the territorial scope of capital acquisitions tax by virtue of the Irish tax residence, ordinary tax residence or domicile of the donor or donee of the gift or inheritance.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is considered that the common shares are not Irish situate property for the purposes of Irish capital acquisitions tax. As such a gift or inheritance of our common shares should not be within the charge to Irish capital acquisitions tax if both the donor and the donee are not tax resident or ordinarily resident in Ireland at the relevant date of the gift or inheritance. </w:t>
      </w:r>
    </w:p>
    <w:p>
      <w:pPr>
        <w:pStyle w:val="TextBody"/>
        <w:bidi w:val="0"/>
        <w:spacing w:before="240" w:after="0"/>
        <w:jc w:val="left"/>
        <w:rPr>
          <w:rFonts w:ascii="Times New Roman" w:hAnsi="Times New Roman"/>
          <w:sz w:val="20"/>
        </w:rPr>
      </w:pPr>
      <w:r>
        <w:rPr>
          <w:rFonts w:ascii="Times New Roman" w:hAnsi="Times New Roman"/>
          <w:sz w:val="20"/>
        </w:rPr>
        <w:t xml:space="preserve">If either a donor or donee of our common shares is resident or ordinarily resident in Ireland at the time of the gift or inheritance they may be within the charge to Irish capital acquisitions tax and they should consult their own tax advisers as to the Irish tax consequences. </w:t>
      </w:r>
    </w:p>
    <w:p>
      <w:pPr>
        <w:pStyle w:val="TextBody"/>
        <w:bidi w:val="0"/>
        <w:spacing w:before="240" w:after="0"/>
        <w:jc w:val="left"/>
        <w:rPr>
          <w:rFonts w:ascii="Times New Roman" w:hAnsi="Times New Roman"/>
          <w:b/>
          <w:sz w:val="20"/>
        </w:rPr>
      </w:pPr>
      <w:r>
        <w:rPr>
          <w:rFonts w:ascii="Times New Roman" w:hAnsi="Times New Roman"/>
          <w:b/>
          <w:sz w:val="20"/>
        </w:rPr>
        <w:t xml:space="preserve">U.S. Federal Income Tax Consequences for 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material U.S. federal income tax consequences to a U.S. Holder (as defined below), under current law, of the purchase, ownership, and disposition of our common shares acquired pursuant to this offering. It does not describe all tax considerations that may be relevant to a particular persons decision to acquire our common shares. This discussion applies only to a U.S. Holder that holds our common shares as a capital asset for U.S. federal income tax purposes (generally, property held for investment) within the meaning of Section 1221 of the Code, and this discussion applies only such common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in special tax situations,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2"/>
        <w:gridCol w:w="8983"/>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real estate mortgage investment conduits;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and passive foreign investment companies, each as defined in the Code, corporations that accumulate earnings to avoid U.S. federal income tax, or expatriated entities subject to Section 7874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stocks and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2"/>
        <w:gridCol w:w="8983"/>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use or are required to use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residents of the United States subject to Section 877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subject to the U.S. anti-inversion rules or the base erosion and anti-abuse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2"/>
        <w:gridCol w:w="8981"/>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non-U.S. persons or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entities, including an individual retirement account as defined in the Code or a Roth IRA;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subject to Section 451(b)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common shares as part of a straddle, hedging, conversion or integrated transaction or persons entering into a constructive sale with respect to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common shares through a bank, financial institution or other entity, or a branch thereof, located, organized or resident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shares pursuant to the exercise of an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10% or more (by vote or value) of our common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classified as partnerships or other pass-through entities (including S corporations), or persons holding common shares through such entities.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classified as a partnership for U.S. federal income tax purposes) holds common shares, the U.S. federal income tax treatment of a partner in the partnership generally will depend upon the status of the partner and the activities of the partner and the partnership. A partnership holding our common shares, or a partner in such a partnership, should consult its tax advisors regarding the tax consequences of investing in and holding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federal income tax laws of the United States as of the date of this prospectus, including the Code, existing and proposed Treasury Regulations promulgated thereunder, judicial authority, published administrative positions of the U.S. Internal Revenue Service (IRS) and other applicable authorities. All of the foregoing authorities are subject to change or differing interpretations, possibly with retroactive effect and could significantly affect the tax consequences described below. We have not sought, and do not intend to seek, any ruling from the IRS with respect to the statements made and the conclusions reached in the following discussion and there can be no assurance that the IRS or a court will not take a contrary position to the tax consequences discussed.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CERTAIN U.S. FEDERAL INCOME TAX CONSIDERATIONS IS FOR GENERAL INFORMATION ONLY AND IS NOT TAX ADVICE. YOU SHOULD CONSULT YOUR TAX ADVISOR WITH RESPECT TO THE APPLICATION OF U.S. FEDERAL INCOME TAX LAWS TO YOUR PARTICULAR SITUATION AS WELL AS ANY TAX CONSEQUENCES OF THE PURCHASE, OWNERSHIP, AND DISPOSITION OF THE COMMON SHARES ARISING UNDER U.S. FEDERAL ESTATE OR GIFT TAX RULES OR UNDER THE LAWS OF ANY STATE, LOCAL, NON-U.S. OR ANY OTHER TAXING JURISDICTION OR UNDER ANY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discussion below, a U.S. Holder is a beneficial owner of our common shares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either (i) a court within the United States is able to exercise primary jurisdiction over its administration and one or more U.S. persons have the authority to control all of its substantial decisions or (ii) the trust has a valid election in effect under applicable Treasury regulations to treat such trust as a domestic trust.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Dividends and Other Distributions on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PFIC rules discussed below, the gross amount of any distribution that we make to U.S. Holders with respect to our common shares (including the amount of any tax withheld) generally will be taxable as a dividend, to the extent paid out of our current or accumulated earnings and profits, as determined under U.S. federal income tax principles. Such income generally will be includable in gross income in the year actually or constructively received. To the extent the amount of the distribution exceeds our current and accumulated earnings and profits, such excess amount generally will be treated first as a tax-free return of tax basis in the common shares, and then, to the extent such excess amount exceeds the holders tax basis in the common shares, as capital gain and will be treated as described below in the section relating to the disposition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corporate U.S. Holders generally will not be eligible for the dividends-received deduction available to U.S. corporations under the Code. Subject to applicable limitations, including conditions relating to holding period, dividends received by certain non-corporate U.S. Holders may be eligible for taxation as qualified dividend income if we are a qualified foreign corporation and other conditions discussed below are met. A non-U.S. corporation is treated as a qualified foreign corporation (i) with respect to dividends paid by that corporation on shares that are readily tradable on an established securities market in the United States (such as Nasdaq) or (ii) if such non-U.S. corporation is eligible for the benefits of a qualifying income tax treaty with the United States that the IRS determines is satisfactory and includes an exchange of information program. However, a non-U.S. corporation will not be treated as a qualified foreign corporation if it is a PFIC in the taxable year in which the dividend is paid or the preceding taxable year. Therefore, subject to applicable limitations, dividends paid to certain non-corporate U.S. Holders may be taxable at rates not in excess of the long-term capital gain rate applicable to such U.S. Holder. U.S. Holders should consult their tax advisors regarding the availability of such lower rate for any dividends paid with respect to our common shares. The amount of a dividend will include any amounts withheld by us in respect of any non-U.S. taxes.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PFIC rules described below, the amount of a dividend generally will be treated as foreign-source dividend. The amount of any dividend income paid in a functional currency other than the U.S. dollar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limitations, some of which vary depending upon the U.S. Holders particular circumstances, non-U.S. income taxes withheld from dividends on our common shares may be creditable against the U.S. Holders U.S. federal income tax liability. The rules governing foreign tax credits are complex, and U.S. Holders should consult their tax advisors regarding the creditability of any non-U.S. taxes based on their particular circumstances. In lieu of claiming a foreign tax credit, U.S. Holders may, at their election, deduct non-U.S. taxes in computing their taxable income, subject to generally applicable limitations under U.S. law. An election to deduct non-U.S. taxes instead of claiming foreign tax credits applies to all foreign taxes paid or accrued in the taxable year.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 Exchange, or Other Taxable Disposition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PFIC rules described below, U.S. Holders generally will recognize gain or loss on a sale, exchange or other taxable disposition of common shares in an amount equal to the difference between the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realized for U.S. federal income tax purposes on the sale, exchange or other taxable disposition and the holders adjusted tax basis in the common shares. Such gain or loss generally will be capital gain or loss and will be long-term capital gain or loss if the U.S. Holder held the common shares disposed of for more than one year. Any gain or loss recognized by U.S. Holders on a disposition of our common shares generally will be treated as U.S.-source income or loss for foreign tax credit limitation purposes. The deductibility of capital losses is subject to various limitations. U.S. Holders are urged to consult their tax advisors regarding the proper treatment of gain or loss, as well as the availability of a foreign tax credit, based on their particular circumstances.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Passive Foreign Investment Company </w:t>
      </w:r>
    </w:p>
    <w:p>
      <w:pPr>
        <w:pStyle w:val="TextBody"/>
        <w:bidi w:val="0"/>
        <w:spacing w:before="240" w:after="0"/>
        <w:jc w:val="left"/>
        <w:rPr>
          <w:rFonts w:ascii="Times New Roman" w:hAnsi="Times New Roman"/>
          <w:sz w:val="20"/>
        </w:rPr>
      </w:pPr>
      <w:r>
        <w:rPr>
          <w:rFonts w:ascii="Times New Roman" w:hAnsi="Times New Roman"/>
          <w:sz w:val="20"/>
        </w:rPr>
        <w:t xml:space="preserve">Under the Code, we may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w:t>
      </w:r>
    </w:p>
    <w:p>
      <w:pPr>
        <w:pStyle w:val="TextBody"/>
        <w:bidi w:val="0"/>
        <w:spacing w:before="240" w:after="0"/>
        <w:jc w:val="left"/>
        <w:rPr>
          <w:rFonts w:ascii="Times New Roman" w:hAnsi="Times New Roman"/>
          <w:sz w:val="20"/>
        </w:rPr>
      </w:pPr>
      <w:r>
        <w:rPr>
          <w:rFonts w:ascii="Times New Roman" w:hAnsi="Times New Roman"/>
          <w:sz w:val="20"/>
        </w:rPr>
        <w:t xml:space="preserve">Based on the nature of our business, our financial statements, our expectations about the nature and amount of our income, assets and activities and the expected price of our common shares in this offering, we do not expect to be a PFIC for U.S. federal income tax purposes for the current taxable year or in the foreseeable future. However, whether we will be a PFIC in the current year or any future year is a factual determination that must be made annually at the close of each taxable year, and, thus, is subject to significant uncertainty. Among other things, a determination of whether we are PFIC will depend on the composition of our income and assets and the market value of our assets from time to time. Accordingly, there can be no assurance that we will not be a PFIC in the current year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year during which a U.S. Holder holds or is deemed to hold common shares, we generally would continue to be treated as a PFIC with respect to that U.S. Holder for all succeeding years during which the U.S. Holder holds or is deemed to hold common shares, even if we ceased to meet the threshold requirements for PFIC status, unless under certain circumstances the U.S. Holder makes a valid deemed sale or deemed dividend election under the applicable Treasury regulations with respect to its common shares. </w:t>
      </w:r>
    </w:p>
    <w:p>
      <w:pPr>
        <w:pStyle w:val="TextBody"/>
        <w:bidi w:val="0"/>
        <w:spacing w:before="240" w:after="0"/>
        <w:jc w:val="left"/>
        <w:rPr>
          <w:rFonts w:ascii="Times New Roman" w:hAnsi="Times New Roman"/>
          <w:sz w:val="20"/>
        </w:rPr>
      </w:pPr>
      <w:r>
        <w:rPr>
          <w:rFonts w:ascii="Times New Roman" w:hAnsi="Times New Roman"/>
          <w:sz w:val="20"/>
        </w:rPr>
        <w:t xml:space="preserve">Generally, if we were a PFIC for any taxable year during which a U.S. Holder held or is deemed to have held common shares, gain recognized by a U.S. Holder on a sale or other disposition (including certain pledges) of such common shares, would be allocated ratably over the U.S. Holders holding period for such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 </w:t>
      </w:r>
    </w:p>
    <w:p>
      <w:pPr>
        <w:pStyle w:val="TextBody"/>
        <w:bidi w:val="0"/>
        <w:spacing w:before="240" w:after="0"/>
        <w:jc w:val="left"/>
        <w:rPr>
          <w:rFonts w:ascii="Times New Roman" w:hAnsi="Times New Roman"/>
          <w:sz w:val="20"/>
        </w:rPr>
      </w:pPr>
      <w:r>
        <w:rPr>
          <w:rFonts w:ascii="Times New Roman" w:hAnsi="Times New Roman"/>
          <w:sz w:val="20"/>
        </w:rPr>
        <w:t xml:space="preserve">A U.S. Holder can avoid certain of the adverse rules described above by making a mark-to-market election with respect to its common shares, provided that the common shares are marketable. Common shares generally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U.S. Holders tax basis in the common shares will be adjusted to reflect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or loss amounts recognized. Any gain recognized on the sale or other disposition of common shares, as applicable, in a year when we are a PFIC will be treated as ordinary income and any loss will be treated as an ordinary loss (but only to the extent of the net amount of income previously included as a result of the mark-to-market election). U.S. Holders should consult their tax advisers regarding the availability and advisability of making a mark-to-market election based on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U.S. Holder can avoid certain of the adverse rules described above by making a QEF Election with respect to such PFIC, and each PFIC in which the PFIC holds equity interests, if the PFIC provides the information necessary for such election to be made. We do not currently expect to provide information that would allow a U.S. Holder to make a QEF Election in the event that we are classified as a PFIC and, therefore, U.S. Holders should assume such election would not be available.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owns common shares during any year in which we are a PFIC, the U.S. Holder generally must file annual reports, containing such information as the U.S. Treasury Department may require on IRS Form 8621 (or any successor form) with respect to us, generally with the U.S. Holders federal income tax return for that year, unless otherwise specified in the instructions with respect to such form.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common shares, as applicable, the consequences to them of an investment in a PFIC, any elections available with respect to the common shares and the IRS information reporting obligations with respect to the purchase, ownership and disposition of common shares of a PFIC.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to the IRS and backup withholding generally will apply to dividends in respect of our common shares and the proceeds from the sale or exchange of our common shares that are paid to U.S. Holders within the United States (and in certain cases, outside the United States). However, backup withholding generally will not apply if the U.S. Holder furnishes a correct taxpayer identification number and make any other required certification, generally on IRS Form W-9, or otherwise establishes an exemption from backup withholding. Backup withholding is not an additional tax. Amounts withheld as backup withholding generally are allowed as a credit against U.S. federal income tax liability and U.S. Holders may be entitled to obtain a refund of any excess amounts withheld under the backup withholding rules if you file an appropriate claim for refund is filed and the required information is furnished to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Each U.S. Holder should consult its tax advisor regarding the application of the information reporting and backup withholding rules.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Information with Respect to Foreign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Each U.S. Holder who is an individual generally will be required to report our name, address and such information relating to an interest in the common shares as is necessary to identify the class or issue of which its common shares are a part. These requirements are subject to exceptions, including an exception for common shares held in accounts maintained by certain financial institutions and an exception applicable if the aggregate value of all specified foreign financial assets (as defined in the Code) does not exceed certain thresholds. </w:t>
      </w:r>
    </w:p>
    <w:p>
      <w:pPr>
        <w:pStyle w:val="TextBody"/>
        <w:bidi w:val="0"/>
        <w:spacing w:before="240" w:after="0"/>
        <w:jc w:val="left"/>
        <w:rPr>
          <w:rFonts w:ascii="Times New Roman" w:hAnsi="Times New Roman"/>
          <w:sz w:val="20"/>
        </w:rPr>
      </w:pPr>
      <w:r>
        <w:rPr>
          <w:rFonts w:ascii="Times New Roman" w:hAnsi="Times New Roman"/>
          <w:sz w:val="20"/>
        </w:rPr>
        <w:t xml:space="preserve">Each U.S. Holder should consult its tax advisor regarding the application of these information reporting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744414_20"/>
      <w:bookmarkEnd w:id="2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Goldman Sachs &amp; Co. LLC and Piper Sandler &amp; Co. are acting as representatives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shares set forth opposite its name below.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7192"/>
        <w:gridCol w:w="260"/>
        <w:gridCol w:w="60"/>
        <w:gridCol w:w="1100"/>
        <w:gridCol w:w="62"/>
      </w:tblGrid>
      <w:tr>
        <w:trPr/>
        <w:tc>
          <w:tcPr>
            <w:tcW w:w="719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192" w:type="dxa"/>
            <w:tcBorders/>
            <w:vAlign w:val="bottom"/>
          </w:tcPr>
          <w:p>
            <w:pPr>
              <w:pStyle w:val="TableContents"/>
              <w:bidi w:val="0"/>
              <w:spacing w:before="0" w:after="283"/>
              <w:jc w:val="left"/>
              <w:rPr/>
            </w:pPr>
            <w:r>
              <w:rPr/>
              <w:t>        </w:t>
            </w:r>
            <w:r>
              <w:rPr>
                <w:b/>
                <w:u w:val="single"/>
              </w:rPr>
              <w:t>Underwriter</w:t>
            </w:r>
          </w:p>
        </w:tc>
        <w:tc>
          <w:tcPr>
            <w:tcW w:w="2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 of</w:t>
              <w:br/>
              <w:t>Shares</w:t>
            </w:r>
          </w:p>
        </w:tc>
        <w:tc>
          <w:tcPr>
            <w:tcW w:w="62" w:type="dxa"/>
            <w:tcBorders/>
            <w:vAlign w:val="bottom"/>
          </w:tcPr>
          <w:p>
            <w:pPr>
              <w:pStyle w:val="TableContents"/>
              <w:bidi w:val="0"/>
              <w:spacing w:before="0" w:after="283"/>
              <w:jc w:val="left"/>
              <w:rPr/>
            </w:pPr>
            <w:r>
              <w:rPr/>
              <w:t> </w:t>
            </w:r>
          </w:p>
        </w:tc>
      </w:tr>
      <w:tr>
        <w:trPr/>
        <w:tc>
          <w:tcPr>
            <w:tcW w:w="7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3,777,701</w:t>
            </w:r>
          </w:p>
        </w:tc>
        <w:tc>
          <w:tcPr>
            <w:tcW w:w="62" w:type="dxa"/>
            <w:tcBorders/>
            <w:shd w:fill="CCEEFF" w:val="clear"/>
            <w:vAlign w:val="bottom"/>
          </w:tcPr>
          <w:p>
            <w:pPr>
              <w:pStyle w:val="TableContents"/>
              <w:bidi w:val="0"/>
              <w:spacing w:before="0" w:after="283"/>
              <w:jc w:val="left"/>
              <w:rPr/>
            </w:pPr>
            <w:r>
              <w:rPr/>
              <w:t> </w:t>
            </w:r>
          </w:p>
        </w:tc>
      </w:tr>
      <w:tr>
        <w:trPr/>
        <w:tc>
          <w:tcPr>
            <w:tcW w:w="7192"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3,147,936</w:t>
            </w:r>
          </w:p>
        </w:tc>
        <w:tc>
          <w:tcPr>
            <w:tcW w:w="62" w:type="dxa"/>
            <w:tcBorders/>
            <w:vAlign w:val="bottom"/>
          </w:tcPr>
          <w:p>
            <w:pPr>
              <w:pStyle w:val="TableContents"/>
              <w:bidi w:val="0"/>
              <w:spacing w:before="0" w:after="283"/>
              <w:jc w:val="left"/>
              <w:rPr/>
            </w:pPr>
            <w:r>
              <w:rPr/>
              <w:t> </w:t>
            </w:r>
          </w:p>
        </w:tc>
      </w:tr>
      <w:tr>
        <w:trPr/>
        <w:tc>
          <w:tcPr>
            <w:tcW w:w="7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2,375,585</w:t>
            </w:r>
          </w:p>
        </w:tc>
        <w:tc>
          <w:tcPr>
            <w:tcW w:w="62" w:type="dxa"/>
            <w:tcBorders/>
            <w:shd w:fill="CCEEFF" w:val="clear"/>
            <w:vAlign w:val="bottom"/>
          </w:tcPr>
          <w:p>
            <w:pPr>
              <w:pStyle w:val="TableContents"/>
              <w:bidi w:val="0"/>
              <w:spacing w:before="0" w:after="283"/>
              <w:jc w:val="left"/>
              <w:rPr/>
            </w:pPr>
            <w:r>
              <w:rPr/>
              <w:t> </w:t>
            </w:r>
          </w:p>
        </w:tc>
      </w:tr>
      <w:tr>
        <w:trPr/>
        <w:tc>
          <w:tcPr>
            <w:tcW w:w="7192"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1,484,407</w:t>
            </w:r>
          </w:p>
        </w:tc>
        <w:tc>
          <w:tcPr>
            <w:tcW w:w="62" w:type="dxa"/>
            <w:tcBorders/>
            <w:vAlign w:val="bottom"/>
          </w:tcPr>
          <w:p>
            <w:pPr>
              <w:pStyle w:val="TableContents"/>
              <w:bidi w:val="0"/>
              <w:spacing w:before="0" w:after="283"/>
              <w:jc w:val="left"/>
              <w:rPr/>
            </w:pPr>
            <w:r>
              <w:rPr/>
              <w:t> </w:t>
            </w:r>
          </w:p>
        </w:tc>
      </w:tr>
      <w:tr>
        <w:trPr/>
        <w:tc>
          <w:tcPr>
            <w:tcW w:w="7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Stifel, Nicolaus &amp; Company, Incorporated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890,289</w:t>
            </w:r>
          </w:p>
        </w:tc>
        <w:tc>
          <w:tcPr>
            <w:tcW w:w="62" w:type="dxa"/>
            <w:tcBorders/>
            <w:shd w:fill="CCEEFF" w:val="clear"/>
            <w:vAlign w:val="bottom"/>
          </w:tcPr>
          <w:p>
            <w:pPr>
              <w:pStyle w:val="TableContents"/>
              <w:bidi w:val="0"/>
              <w:spacing w:before="0" w:after="283"/>
              <w:jc w:val="left"/>
              <w:rPr/>
            </w:pPr>
            <w:r>
              <w:rPr/>
              <w:t> </w:t>
            </w:r>
          </w:p>
        </w:tc>
      </w:tr>
      <w:tr>
        <w:trPr/>
        <w:tc>
          <w:tcPr>
            <w:tcW w:w="7192" w:type="dxa"/>
            <w:tcBorders/>
          </w:tcPr>
          <w:p>
            <w:pPr>
              <w:pStyle w:val="TableContents"/>
              <w:bidi w:val="0"/>
              <w:spacing w:before="0" w:after="0"/>
              <w:jc w:val="left"/>
              <w:rPr>
                <w:rFonts w:ascii="Times New Roman" w:hAnsi="Times New Roman"/>
                <w:sz w:val="20"/>
              </w:rPr>
            </w:pPr>
            <w:r>
              <w:rPr>
                <w:rFonts w:ascii="Times New Roman" w:hAnsi="Times New Roman"/>
                <w:sz w:val="20"/>
              </w:rPr>
              <w:t>Nomura Securities International, Inc.</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196,112</w:t>
            </w:r>
          </w:p>
        </w:tc>
        <w:tc>
          <w:tcPr>
            <w:tcW w:w="62" w:type="dxa"/>
            <w:tcBorders/>
            <w:vAlign w:val="bottom"/>
          </w:tcPr>
          <w:p>
            <w:pPr>
              <w:pStyle w:val="TableContents"/>
              <w:bidi w:val="0"/>
              <w:spacing w:before="0" w:after="283"/>
              <w:jc w:val="left"/>
              <w:rPr/>
            </w:pPr>
            <w:r>
              <w:rPr/>
              <w:t> </w:t>
            </w:r>
          </w:p>
        </w:tc>
      </w:tr>
      <w:tr>
        <w:trPr/>
        <w:tc>
          <w:tcPr>
            <w:tcW w:w="7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 Securities, LLC</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10,322</w:t>
            </w:r>
          </w:p>
        </w:tc>
        <w:tc>
          <w:tcPr>
            <w:tcW w:w="62" w:type="dxa"/>
            <w:tcBorders/>
            <w:shd w:fill="CCEEFF" w:val="clear"/>
            <w:vAlign w:val="bottom"/>
          </w:tcPr>
          <w:p>
            <w:pPr>
              <w:pStyle w:val="TableContents"/>
              <w:bidi w:val="0"/>
              <w:spacing w:before="0" w:after="283"/>
              <w:jc w:val="left"/>
              <w:rPr/>
            </w:pPr>
            <w:r>
              <w:rPr/>
              <w:t> </w:t>
            </w:r>
          </w:p>
        </w:tc>
      </w:tr>
      <w:tr>
        <w:trPr/>
        <w:tc>
          <w:tcPr>
            <w:tcW w:w="719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19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11,882,352</w:t>
            </w:r>
          </w:p>
        </w:tc>
        <w:tc>
          <w:tcPr>
            <w:tcW w:w="62" w:type="dxa"/>
            <w:tcBorders/>
            <w:vAlign w:val="bottom"/>
          </w:tcPr>
          <w:p>
            <w:pPr>
              <w:pStyle w:val="TableContents"/>
              <w:bidi w:val="0"/>
              <w:spacing w:before="0" w:after="283"/>
              <w:jc w:val="left"/>
              <w:rPr/>
            </w:pPr>
            <w:r>
              <w:rPr/>
              <w:t> </w:t>
            </w:r>
          </w:p>
        </w:tc>
      </w:tr>
      <w:tr>
        <w:trPr/>
        <w:tc>
          <w:tcPr>
            <w:tcW w:w="719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4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public offering price, underwriting discount and proceeds before expenses to us. The information assumes either no exercise or full exercise by the underwriters of their over-allotment option to purchase additional shares.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115"/>
        <w:gridCol w:w="277"/>
        <w:gridCol w:w="140"/>
        <w:gridCol w:w="865"/>
        <w:gridCol w:w="60"/>
        <w:gridCol w:w="277"/>
        <w:gridCol w:w="140"/>
        <w:gridCol w:w="1629"/>
        <w:gridCol w:w="60"/>
        <w:gridCol w:w="277"/>
        <w:gridCol w:w="140"/>
        <w:gridCol w:w="1629"/>
        <w:gridCol w:w="65"/>
      </w:tblGrid>
      <w:tr>
        <w:trPr/>
        <w:tc>
          <w:tcPr>
            <w:tcW w:w="311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1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0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Per Share</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6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Without Option</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6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With Option</w:t>
            </w:r>
          </w:p>
        </w:tc>
        <w:tc>
          <w:tcPr>
            <w:tcW w:w="65" w:type="dxa"/>
            <w:tcBorders/>
            <w:vAlign w:val="bottom"/>
          </w:tcPr>
          <w:p>
            <w:pPr>
              <w:pStyle w:val="TableContents"/>
              <w:bidi w:val="0"/>
              <w:spacing w:before="0" w:after="283"/>
              <w:jc w:val="left"/>
              <w:rPr/>
            </w:pPr>
            <w:r>
              <w:rPr/>
              <w:t> </w:t>
            </w:r>
          </w:p>
        </w:tc>
      </w:tr>
      <w:tr>
        <w:trPr/>
        <w:tc>
          <w:tcPr>
            <w:tcW w:w="3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17.00</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29" w:type="dxa"/>
            <w:tcBorders/>
            <w:shd w:fill="CCEEFF" w:val="clear"/>
            <w:vAlign w:val="bottom"/>
          </w:tcPr>
          <w:p>
            <w:pPr>
              <w:pStyle w:val="TableContents"/>
              <w:bidi w:val="0"/>
              <w:spacing w:before="0" w:after="283"/>
              <w:jc w:val="right"/>
              <w:rPr/>
            </w:pPr>
            <w:r>
              <w:rPr/>
              <w:t>201,999,984.00</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29" w:type="dxa"/>
            <w:tcBorders/>
            <w:shd w:fill="CCEEFF" w:val="clear"/>
            <w:vAlign w:val="bottom"/>
          </w:tcPr>
          <w:p>
            <w:pPr>
              <w:pStyle w:val="TableContents"/>
              <w:bidi w:val="0"/>
              <w:spacing w:before="0" w:after="283"/>
              <w:jc w:val="right"/>
              <w:rPr/>
            </w:pPr>
            <w:r>
              <w:rPr/>
              <w:t>232,299,968.00</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115"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5" w:type="dxa"/>
            <w:tcBorders/>
            <w:vAlign w:val="bottom"/>
          </w:tcPr>
          <w:p>
            <w:pPr>
              <w:pStyle w:val="TableContents"/>
              <w:bidi w:val="0"/>
              <w:spacing w:before="0" w:after="283"/>
              <w:jc w:val="right"/>
              <w:rPr/>
            </w:pPr>
            <w:r>
              <w:rPr/>
              <w:t>1.2104</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29" w:type="dxa"/>
            <w:tcBorders/>
            <w:vAlign w:val="bottom"/>
          </w:tcPr>
          <w:p>
            <w:pPr>
              <w:pStyle w:val="TableContents"/>
              <w:bidi w:val="0"/>
              <w:spacing w:before="0" w:after="283"/>
              <w:jc w:val="right"/>
              <w:rPr/>
            </w:pPr>
            <w:r>
              <w:rPr/>
              <w:t>14,382,398.86</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29" w:type="dxa"/>
            <w:tcBorders/>
            <w:vAlign w:val="bottom"/>
          </w:tcPr>
          <w:p>
            <w:pPr>
              <w:pStyle w:val="TableContents"/>
              <w:bidi w:val="0"/>
              <w:spacing w:before="0" w:after="283"/>
              <w:jc w:val="right"/>
              <w:rPr/>
            </w:pPr>
            <w:r>
              <w:rPr/>
              <w:t>16,539,757.72</w:t>
            </w:r>
          </w:p>
        </w:tc>
        <w:tc>
          <w:tcPr>
            <w:tcW w:w="65" w:type="dxa"/>
            <w:tcBorders/>
            <w:vAlign w:val="bottom"/>
          </w:tcPr>
          <w:p>
            <w:pPr>
              <w:pStyle w:val="TableContents"/>
              <w:bidi w:val="0"/>
              <w:spacing w:before="0" w:after="283"/>
              <w:jc w:val="left"/>
              <w:rPr/>
            </w:pPr>
            <w:r>
              <w:rPr/>
              <w:t> </w:t>
            </w:r>
          </w:p>
        </w:tc>
      </w:tr>
      <w:tr>
        <w:trPr/>
        <w:tc>
          <w:tcPr>
            <w:tcW w:w="3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15.7896</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29" w:type="dxa"/>
            <w:tcBorders/>
            <w:shd w:fill="CCEEFF" w:val="clear"/>
            <w:vAlign w:val="bottom"/>
          </w:tcPr>
          <w:p>
            <w:pPr>
              <w:pStyle w:val="TableContents"/>
              <w:bidi w:val="0"/>
              <w:spacing w:before="0" w:after="283"/>
              <w:jc w:val="right"/>
              <w:rPr/>
            </w:pPr>
            <w:r>
              <w:rPr/>
              <w:t>187,617,585.14</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29" w:type="dxa"/>
            <w:tcBorders/>
            <w:shd w:fill="CCEEFF" w:val="clear"/>
            <w:vAlign w:val="bottom"/>
          </w:tcPr>
          <w:p>
            <w:pPr>
              <w:pStyle w:val="TableContents"/>
              <w:bidi w:val="0"/>
              <w:spacing w:before="0" w:after="283"/>
              <w:jc w:val="right"/>
              <w:rPr/>
            </w:pPr>
            <w:r>
              <w:rPr/>
              <w:t>215,760,210.28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expenses of the offering, not including the underwriting discount, are estimated at approximately $6,228,290 and are payable by us. We have agreed to reimburse the underwriters for expenses relating to clearance of this offering with the Financial Industry Regulatory Authority and other regulatory fees up to $40,000. </w:t>
      </w:r>
    </w:p>
    <w:p>
      <w:pPr>
        <w:pStyle w:val="TextBody"/>
        <w:bidi w:val="0"/>
        <w:spacing w:before="240" w:after="0"/>
        <w:jc w:val="left"/>
        <w:rPr>
          <w:rFonts w:ascii="Times New Roman" w:hAnsi="Times New Roman"/>
          <w:sz w:val="20"/>
        </w:rPr>
      </w:pPr>
      <w:r>
        <w:rPr>
          <w:rFonts w:ascii="Times New Roman" w:hAnsi="Times New Roman"/>
          <w:sz w:val="20"/>
        </w:rPr>
        <w:t xml:space="preserve">We have also agreed to reimburse the underwriters for certain fees and expenses in connection with the reserved share program described below, including the fees and disbursements of counsel to the underwriters in an amount up to $25,000. </w:t>
      </w:r>
    </w:p>
    <w:p>
      <w:pPr>
        <w:pStyle w:val="TextBody"/>
        <w:bidi w:val="0"/>
        <w:spacing w:before="24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an over-allotment option to the underwriters, exercisable for 30 days after the date of this prospectus, to purchase up to 1,782,352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 </w:t>
      </w:r>
    </w:p>
    <w:p>
      <w:pPr>
        <w:pStyle w:val="TextBody"/>
        <w:bidi w:val="0"/>
        <w:spacing w:before="24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our executive officers and directors and our other existing security holders that collectively own substantially all of our common shares before this offering have agreed not to sell or transfer any common shares or securities convertible into, exchangeable for, exercisable for, or repayable with common shares (collectively, the Lock-Up Securities), for 180 days after the date of this prospectus without first obtaining the written consent of BofA Securities, Inc., Goldman Sachs &amp; Co. LLC and Piper Sandler &amp; Co. Specifically, we and these other persons have agreed, with certain limited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or contract to sell any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any option or contract to purchase any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any option or contract to sell any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option, right or warrant for the sale of any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or otherwise dispose of or transfer any common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request or demand that we file or make a confidential submission of a registration statement related to the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hedging, swap, loan or any other agreement or any transaction that transfers, in whole or in part, the economic consequence of ownership of any Lock-Up Securities whether any such swap or transaction is to be settled by delivery of shares or other securities, in cash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lock-up provision applies to Lock-Up Securities owned now or acquired later by the person executing the agreement or for which the person executing the agreement has or later acquires the power of disposition, or the Lock-Up Securities. BofA Securities, Inc., Goldman Sachs &amp; Co. LLC and Piper Sandler &amp; Co., in their sole discretion, may release the Lock-Up Securities subject to the lock-up agreements described above in whole or in part at any time with or without notice. </w:t>
      </w:r>
    </w:p>
    <w:p>
      <w:pPr>
        <w:pStyle w:val="TextBody"/>
        <w:bidi w:val="0"/>
        <w:spacing w:before="24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240" w:after="0"/>
        <w:jc w:val="left"/>
        <w:rPr>
          <w:rFonts w:ascii="Times New Roman" w:hAnsi="Times New Roman"/>
          <w:sz w:val="20"/>
        </w:rPr>
      </w:pPr>
      <w:r>
        <w:rPr>
          <w:rFonts w:ascii="Times New Roman" w:hAnsi="Times New Roman"/>
          <w:sz w:val="20"/>
        </w:rPr>
        <w:t xml:space="preserve">We have been approved to list our common shares on The Nasdaq Global Select Market under the symbol KMTS.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this offering, there has been no public market for our common shares. The initial public offering price was determined through negotiations between us and the representatives. In addition to prevailing market conditions, the factors to be considered in determining the initial public offering price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valuation multiples of publicly traded companies that the representatives believe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history of, and the prospects for, our company and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assessment of our management, its past and present operations, and the prospects for, and timing of, our future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state of our development,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above factors in relation to market values and various valuation measures of other companies engaged in activities similar to ours.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active trading market for the shares may not develop. It is also possible that after the offering the shares will not trade in the public market at or above the initial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do not expect to sell more than 5% of the shares in the aggregate to accounts over which they exercise discretionary authority. </w:t>
      </w:r>
    </w:p>
    <w:p>
      <w:pPr>
        <w:pStyle w:val="TextBody"/>
        <w:bidi w:val="0"/>
        <w:spacing w:before="24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240" w:after="0"/>
        <w:jc w:val="left"/>
        <w:rPr>
          <w:rFonts w:ascii="Times New Roman" w:hAnsi="Times New Roman"/>
          <w:sz w:val="20"/>
        </w:rPr>
      </w:pPr>
      <w:r>
        <w:rPr>
          <w:rFonts w:ascii="Times New Roman" w:hAnsi="Times New Roman"/>
          <w:sz w:val="20"/>
        </w:rPr>
        <w:t xml:space="preserve">Until the distribution of the shares is completed, SEC rules may limit underwriters and selling group members from bidding for and purchasing our common shares. However, the representatives may engage in transactions that stabilize the price of the common shares,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our common shares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over-allotment option to purchase additional shares described above. The underwriters may close out any covered short position by either exercising their over-allotment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shares in the open market after pricing that could adversely affect investors who purchase in the offering. Stabilizing transactions consist of various bids for or purchases of shares of common shares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The underwriters may conduct these transactions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shares.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24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certain of the underwriters or securities dealers may distribute prospectuses by electronic means, such as e-mail. </w:t>
      </w:r>
    </w:p>
    <w:p>
      <w:pPr>
        <w:pStyle w:val="TextBody"/>
        <w:bidi w:val="0"/>
        <w:spacing w:before="24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b/>
          <w:sz w:val="20"/>
        </w:rPr>
      </w:pPr>
      <w:r>
        <w:rPr>
          <w:rFonts w:ascii="Times New Roman" w:hAnsi="Times New Roman"/>
          <w:b/>
          <w:sz w:val="20"/>
        </w:rPr>
        <w:t xml:space="preserve">Reserved Shares </w:t>
      </w:r>
    </w:p>
    <w:p>
      <w:pPr>
        <w:pStyle w:val="TextBody"/>
        <w:bidi w:val="0"/>
        <w:spacing w:before="240" w:after="0"/>
        <w:jc w:val="left"/>
        <w:rPr>
          <w:rFonts w:ascii="Times New Roman" w:hAnsi="Times New Roman"/>
          <w:sz w:val="20"/>
        </w:rPr>
      </w:pPr>
      <w:r>
        <w:rPr>
          <w:rFonts w:ascii="Times New Roman" w:hAnsi="Times New Roman"/>
          <w:sz w:val="20"/>
        </w:rPr>
        <w:t xml:space="preserve">At our request, the underwriters have reserved up to 5% of the common shares offered hereby, for sale at the initial public offering price to our officers, directors, team members and certain of their friends or family. The sales will be made to certain entities and individuals identified by management through a reserved shares program. Management will provide the list of potential participants to Merrill Lynch, Pierce, Fenner &amp; Smith Incorporated, an underwriter of this offering, which will administer the reserved shares program. At this time, no indications of interest will be taken. Once the preliminary prospectus has been filed, an invitation package will be made available or sent to each person identified by management, which will include the preliminary prospectus and other reserved shares program documentation. An invitation to participate in the reserved shares program does not guarantee that the participant will receive an allocation of common shares. Accordingly, we cannot provide any assurance that any director, officer, team member, or participant will receive an invitation or an allocation in the reserved shares program. If a potential participant is interested in participating, that participant will be required to complete the required documentation and will be required to return such documentation to the program administrator. The program administrator will not accept funds from any participant until after the registration statement for this offering is declared effective, this offering is priced, and the participants are notified of their final allocation and given an opportunity to confirm that they wish to purchase the common shares allocated to them. After the registration statement has been declared effective and this offering is priced,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and the program administrator will prepare a final approved list of allocations. The program administrator will notify each participant who has been allocated common shares of the number of common shares that have been allocated and the total purchase price due upon confirmation of their participation. Thereafter, participants will be required to wire or transfer their funds to the program administrator. The common shares under the reserved shares program will be allocated following pricing and settle in the same manner as the common shares sold to the general public. If purchased by directors, officers or team members, these common shares will be subject to a 180-day lock-up restriction described in this prospectus. If any potential participants purchase reserved common shares, it will reduce the number of common shares available for sale to the general public. Any reserved common shares that are not so purchased will be offered by the underwriters to the general public on the same terms as the other common shares offered hereby.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the Company or any underwriter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State who initially acquires any shares or to whom any offer is made will be deemed to have represented, acknowledged and agreed to and with the Company and the underwriters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underwriters and their respective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above selling restriction is in addition to any other selling restrictions set out below.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not acting for anyone other than the Company and will not be responsible to anyone other than the Company for providing the protections afforded to their clients nor for providing advice in relation to the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the United Kingdom (UK), no shares have been offered or will be offered pursuant to this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the Company or any underwriter to publish a prospectus pursuant to Section 85 of the FSMA or Article 3 of the UK Prospectus Regulation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the UK who initially acquires any shares or to whom any offer is made will be deemed to have represented, acknowledged and agreed to and with the Company and the underwriters that it is a qualified investor within the meaning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underwriters and their respective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 as amended.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not acting for anyone other than the Company and will not be responsible to anyone other than the Company for providing the protections afforded to their clients nor for providing advice in relation to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UK,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24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24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744414_21"/>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shares and certain other matters of Bermuda law will be passed upon for us by Walkers (Bermuda) Limited, our special Bermuda counsel. Certain other legal matters will be passed upon for us by Kirkland &amp; Ellis LLP, New York, New York, and for the underwriters by Allen Overy Shearman Sterling US LLP, New York, New York. </w:t>
      </w:r>
    </w:p>
    <w:p>
      <w:pPr>
        <w:pStyle w:val="TextBody"/>
        <w:bidi w:val="0"/>
        <w:spacing w:before="240" w:after="0"/>
        <w:jc w:val="center"/>
        <w:rPr>
          <w:rFonts w:ascii="Times New Roman" w:hAnsi="Times New Roman"/>
          <w:b/>
          <w:sz w:val="20"/>
        </w:rPr>
      </w:pPr>
      <w:bookmarkStart w:id="24" w:name="rom744414_22"/>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West Affum Intermediate Holdings Corp. as of April 30, 2024 and 2023 and for the years then ended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Kestra Medical Technologies, Ltd. as of April 30, 2024 and 2023 included in this prospectus have been so included in reliance on the report of PricewaterhouseCoopers LLP, an independent registered public accounting firm, given on the authority of said firm as experts in auditing and accounting. </w:t>
      </w:r>
    </w:p>
    <w:p>
      <w:pPr>
        <w:pStyle w:val="TextBody"/>
        <w:bidi w:val="0"/>
        <w:spacing w:before="240" w:after="0"/>
        <w:jc w:val="center"/>
        <w:rPr>
          <w:rFonts w:ascii="Times New Roman" w:hAnsi="Times New Roman"/>
          <w:b/>
          <w:sz w:val="20"/>
        </w:rPr>
      </w:pPr>
      <w:bookmarkStart w:id="25" w:name="rom744414_23"/>
      <w:bookmarkEnd w:id="25"/>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common shares being offered by this prospectus. This prospectus, which constitutes part of the registration statement, does not contain all of the information in the registration statement and its exhibits. For further information with respect to our company and the common shares offered by this prospectus, we refer you to the registration statement and its exhibits. Statements or summaries contained in this prospectus as to the material contents of any contract or any other document referred to herein are not necessarily complete, and in each instance, we refer you to the copy of the contract or other document filed as an exhibit to the registration statement. Each of these statements or summaries is qualified in all respects by this reference. You can read our SEC filings, including the registration statement, over the internet at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review at the SECs website at www.sec.gov. We also maintain a website at https://www.kestramedical.com,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t>
      </w:r>
    </w:p>
    <w:p>
      <w:pPr>
        <w:pStyle w:val="TextBody"/>
        <w:bidi w:val="0"/>
        <w:spacing w:before="240" w:after="0"/>
        <w:jc w:val="center"/>
        <w:rPr>
          <w:rFonts w:ascii="Times New Roman" w:hAnsi="Times New Roman"/>
          <w:b/>
          <w:sz w:val="20"/>
        </w:rPr>
      </w:pPr>
      <w:bookmarkStart w:id="26" w:name="rom744414_24"/>
      <w:bookmarkEnd w:id="26"/>
      <w:r>
        <w:rPr>
          <w:rFonts w:ascii="Times New Roman" w:hAnsi="Times New Roman"/>
          <w:b/>
          <w:sz w:val="20"/>
        </w:rPr>
        <w:t xml:space="preserve">EXCHANGE CONTROLS </w:t>
      </w:r>
    </w:p>
    <w:p>
      <w:pPr>
        <w:pStyle w:val="TextBody"/>
        <w:bidi w:val="0"/>
        <w:spacing w:before="240" w:after="0"/>
        <w:jc w:val="left"/>
        <w:rPr>
          <w:rFonts w:ascii="Times New Roman" w:hAnsi="Times New Roman"/>
          <w:sz w:val="20"/>
        </w:rPr>
      </w:pPr>
      <w:r>
        <w:rPr>
          <w:rFonts w:ascii="Times New Roman" w:hAnsi="Times New Roman"/>
          <w:sz w:val="20"/>
        </w:rPr>
        <w:t xml:space="preserve">The permission of the Bermuda Monetary Authority is required, pursuant to the provisions of the Exchange Control Act 1972 and related regulations, for all issuances and transfers of shares (which includes our common shares)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of a Bermuda company from or to a non-resident of Bermuda for exchange control purposes for so long as any Equity Securities of the company (which would include our common shares) are listed on an Appointed Stock Exchange (which would include the Nasdaq Global Select Market). Certain issues and transfers of common shares involving persons deemed resident in Bermuda for exchange control purposes require the specific consent of the Bermuda Monetary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744414_25"/>
      <w:bookmarkEnd w:id="27"/>
      <w:r>
        <w:rPr>
          <w:rFonts w:ascii="Times New Roman" w:hAnsi="Times New Roman"/>
          <w:b/>
          <w:sz w:val="20"/>
        </w:rPr>
        <w:t xml:space="preserve">ENFORCEMENT OF CIVIL LIABILITIES UNDER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are a Bermuda exempted company limited by shares. As a result, the rights of holders of our common shares will be governed by Bermuda law, our memorandum of association and the amended and restated bye-laws to be in effect upon the closing of this offering. The rights of shareholders under Bermuda law may differ from the rights of shareholders of companies incorporated in other jurisdictions. It may be difficult for investors to enforce in the United States judgments obtained in U.S. courts against us based on the civil liability provisions of the U.S. securities laws. Our principal office is located at 3933 Lake Washington Blvd NE, Suite 200, Kirkland, Washington 98033, and our registered office is located in Bermuda at Cumberland House, 7th Floor, 1 Victoria Street, Hamilton HM 11, Bermuda.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our special Bermuda counsel that there is no treaty in force between the United States and Bermuda providing for the reciprocal recognition and enforcement of judgments in civil and commercial matters. As a result, whether a U.S. judgment would be enforceable in Bermuda against us or our directors and officers depends on whether the U.S. court that entered the judgment is recognized by a Bermuda court as having jurisdiction over us or our directors and officers, as determined by reference to Bermuda conflict of law rules. The courts of Bermuda would recognize as a valid judgment, a final and conclusive judgment in personam obtained in a U.S. court pursuant to which a sum of money is payable (other than a sum of money payable in respect of multiple damages, taxes or other charges of a like nature or in respect of a fine or other penalty). The courts of Bermuda would give a judgment based on such a U.S. judgment as long as (1) the U.S. court had proper jurisdiction over the parties subject to the judgment; (2) the U.S. court did not contravene the rules of natural justice of Bermuda; (3) the U.S. judgment was not obtained by fraud; (4) the enforcement of the U.S. judgment would not be contrary to the public policy of Bermuda; (5) no new admissible evidence relevant to the action is submitted prior to the rendering of the judgment by the courts of Bermuda; (6) there is due compliance with the correct procedures under the laws of Bermuda; and (7) the U.S. judgment is not inconsistent with any judgment of the courts of Bermuda in respect of the same matter. </w:t>
      </w:r>
    </w:p>
    <w:p>
      <w:pPr>
        <w:pStyle w:val="TextBody"/>
        <w:bidi w:val="0"/>
        <w:spacing w:before="240" w:after="0"/>
        <w:jc w:val="left"/>
        <w:rPr>
          <w:rFonts w:ascii="Times New Roman" w:hAnsi="Times New Roman"/>
          <w:sz w:val="20"/>
        </w:rPr>
      </w:pPr>
      <w:r>
        <w:rPr>
          <w:rFonts w:ascii="Times New Roman" w:hAnsi="Times New Roman"/>
          <w:sz w:val="20"/>
        </w:rPr>
        <w:t xml:space="preserve">In addition, and irrespective of jurisdictional issues, the Bermuda courts will not enforce a U.S. federal securities law that is either penal or contrary to Bermuda public policy. We have been advised that an action brought pursuant to a public or penal law, the purpose of which is the enforcement of a sanction, power or right at the instance of the state in its sovereign capacity, is unlikely to be entertained by a Bermuda court. Certain remedies available under the laws of U.S. jurisdictions, including certain remedies under U.S. federal securities laws, would not be available under Bermuda law or enforceable in a Bermuda court, as they are likely to be contrary to Bermuda public policy. Further, it may not be possible to pursue direct claims in Bermuda against us or our directors and officers for alleged violations of U.S. federal securities laws because these laws are unlikely to have extraterritorial effect and do not have force of law in Bermuda. A Bermuda court may, however, impose civil liability on us or our directors and officers if the facts alleged and proved in the Bermuda proceedings constitute or give rise to a cause of action under the applicable governing law, not being a foreign public, penal or revenue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744414_26"/>
      <w:bookmarkEnd w:id="28"/>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1"/>
        <w:gridCol w:w="146"/>
        <w:gridCol w:w="60"/>
        <w:gridCol w:w="496"/>
        <w:gridCol w:w="62"/>
      </w:tblGrid>
      <w:tr>
        <w:trPr/>
        <w:tc>
          <w:tcPr>
            <w:tcW w:w="944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41" w:type="dxa"/>
            <w:tcBorders/>
          </w:tcPr>
          <w:p>
            <w:pPr>
              <w:pStyle w:val="TableContents"/>
              <w:bidi w:val="0"/>
              <w:spacing w:before="0" w:after="0"/>
              <w:jc w:val="left"/>
              <w:rPr/>
            </w:pPr>
            <w:hyperlink w:anchor="fin744414_1">
              <w:r>
                <w:rPr>
                  <w:rStyle w:val="InternetLink"/>
                  <w:rFonts w:ascii="Times New Roman" w:hAnsi="Times New Roman"/>
                  <w:b/>
                  <w:sz w:val="20"/>
                </w:rPr>
                <w:t>Kestra Medical Technologies, Ltd.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41" w:type="dxa"/>
            <w:tcBorders/>
          </w:tcPr>
          <w:p>
            <w:pPr>
              <w:pStyle w:val="TableContents"/>
              <w:bidi w:val="0"/>
              <w:spacing w:before="0" w:after="0"/>
              <w:jc w:val="left"/>
              <w:rPr/>
            </w:pPr>
            <w:hyperlink w:anchor="fin744414_2">
              <w:r>
                <w:rPr>
                  <w:rStyle w:val="InternetLink"/>
                  <w:rFonts w:ascii="Times New Roman" w:hAnsi="Times New Roman"/>
                  <w:b/>
                  <w:sz w:val="20"/>
                </w:rPr>
                <w:t>Unaudited Condensed Balance Sheets of Kestra Medical Technologies, Ltd.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41" w:type="dxa"/>
            <w:tcBorders/>
            <w:vAlign w:val="bottom"/>
          </w:tcPr>
          <w:p>
            <w:pPr>
              <w:pStyle w:val="TableContents"/>
              <w:bidi w:val="0"/>
              <w:spacing w:before="0" w:after="0"/>
              <w:jc w:val="left"/>
              <w:rPr/>
            </w:pPr>
            <w:hyperlink w:anchor="fin744414_3">
              <w:r>
                <w:rPr>
                  <w:rStyle w:val="InternetLink"/>
                  <w:rFonts w:ascii="Times New Roman" w:hAnsi="Times New Roman"/>
                  <w:sz w:val="20"/>
                </w:rPr>
                <w:t>Condensed Balance Sheets as of October 31, 2024 and April 30,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F-2</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4">
              <w:r>
                <w:rPr>
                  <w:rStyle w:val="InternetLink"/>
                  <w:rFonts w:ascii="Times New Roman" w:hAnsi="Times New Roman"/>
                  <w:sz w:val="20"/>
                </w:rPr>
                <w:t>Notes to Unaudited Condensed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F-3</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5">
              <w:r>
                <w:rPr>
                  <w:rStyle w:val="InternetLink"/>
                  <w:rFonts w:ascii="Times New Roman" w:hAnsi="Times New Roman"/>
                  <w:b/>
                  <w:sz w:val="20"/>
                </w:rPr>
                <w:t>Audited Balance Sheet of Kestra Medical Technologies, Ltd.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41" w:type="dxa"/>
            <w:tcBorders/>
            <w:vAlign w:val="bottom"/>
          </w:tcPr>
          <w:p>
            <w:pPr>
              <w:pStyle w:val="TableContents"/>
              <w:bidi w:val="0"/>
              <w:spacing w:before="0" w:after="0"/>
              <w:jc w:val="left"/>
              <w:rPr/>
            </w:pPr>
            <w:hyperlink w:anchor="fin744414_6">
              <w:r>
                <w:rPr>
                  <w:rStyle w:val="InternetLink"/>
                  <w:rFonts w:ascii="Times New Roman" w:hAnsi="Times New Roman"/>
                  <w:sz w:val="20"/>
                </w:rPr>
                <w:t>Report of Independent Registered Public Accounting Firm</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F-4</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7">
              <w:r>
                <w:rPr>
                  <w:rStyle w:val="InternetLink"/>
                  <w:rFonts w:ascii="Times New Roman" w:hAnsi="Times New Roman"/>
                  <w:sz w:val="20"/>
                </w:rPr>
                <w:t>Balance Sheets as of April 30,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F-5</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8">
              <w:r>
                <w:rPr>
                  <w:rStyle w:val="InternetLink"/>
                  <w:rFonts w:ascii="Times New Roman" w:hAnsi="Times New Roman"/>
                  <w:sz w:val="20"/>
                </w:rPr>
                <w:t>Notes to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F-6</w:t>
            </w:r>
          </w:p>
        </w:tc>
        <w:tc>
          <w:tcPr>
            <w:tcW w:w="62" w:type="dxa"/>
            <w:tcBorders/>
            <w:vAlign w:val="bottom"/>
          </w:tcPr>
          <w:p>
            <w:pPr>
              <w:pStyle w:val="TableContents"/>
              <w:bidi w:val="0"/>
              <w:spacing w:before="0" w:after="283"/>
              <w:jc w:val="left"/>
              <w:rPr/>
            </w:pPr>
            <w:r>
              <w:rPr/>
              <w:t> </w:t>
            </w:r>
          </w:p>
        </w:tc>
      </w:tr>
      <w:tr>
        <w:trPr>
          <w:trHeight w:val="120" w:hRule="atLeast"/>
        </w:trPr>
        <w:tc>
          <w:tcPr>
            <w:tcW w:w="9441" w:type="dxa"/>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tcBorders/>
          </w:tcPr>
          <w:p>
            <w:pPr>
              <w:pStyle w:val="TableContents"/>
              <w:bidi w:val="0"/>
              <w:spacing w:before="0" w:after="0"/>
              <w:jc w:val="left"/>
              <w:rPr/>
            </w:pPr>
            <w:hyperlink w:anchor="fin744414_9">
              <w:r>
                <w:rPr>
                  <w:rStyle w:val="InternetLink"/>
                  <w:rFonts w:ascii="Times New Roman" w:hAnsi="Times New Roman"/>
                  <w:b/>
                  <w:sz w:val="20"/>
                </w:rPr>
                <w:t>West Affum Intermediate Holdings Corp.</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41" w:type="dxa"/>
            <w:tcBorders/>
          </w:tcPr>
          <w:p>
            <w:pPr>
              <w:pStyle w:val="TableContents"/>
              <w:bidi w:val="0"/>
              <w:spacing w:before="0" w:after="0"/>
              <w:jc w:val="left"/>
              <w:rPr/>
            </w:pPr>
            <w:hyperlink w:anchor="fin744414_10">
              <w:r>
                <w:rPr>
                  <w:rStyle w:val="InternetLink"/>
                  <w:rFonts w:ascii="Times New Roman" w:hAnsi="Times New Roman"/>
                  <w:b/>
                  <w:sz w:val="20"/>
                </w:rPr>
                <w:t>Unaudited Condensed Consolidated Financial Statements of West Affum Intermediate Holdings Corp.</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41" w:type="dxa"/>
            <w:tcBorders/>
            <w:vAlign w:val="bottom"/>
          </w:tcPr>
          <w:p>
            <w:pPr>
              <w:pStyle w:val="TableContents"/>
              <w:bidi w:val="0"/>
              <w:spacing w:before="0" w:after="0"/>
              <w:jc w:val="left"/>
              <w:rPr/>
            </w:pPr>
            <w:hyperlink w:anchor="fin744414_11">
              <w:r>
                <w:rPr>
                  <w:rStyle w:val="InternetLink"/>
                  <w:rFonts w:ascii="Times New Roman" w:hAnsi="Times New Roman"/>
                  <w:sz w:val="20"/>
                </w:rPr>
                <w:t>Condensed Consolidated Balance Sheets as of October 31, 2024 and April 30,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F-7</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12">
              <w:r>
                <w:rPr>
                  <w:rStyle w:val="InternetLink"/>
                  <w:rFonts w:ascii="Times New Roman" w:hAnsi="Times New Roman"/>
                  <w:sz w:val="20"/>
                </w:rPr>
                <w:t>Condensed Consolidated Statements of Operations and Comprehensive Loss for the Six Months Ended October 31,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F-8</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13">
              <w:r>
                <w:rPr>
                  <w:rStyle w:val="InternetLink"/>
                  <w:rFonts w:ascii="Times New Roman" w:hAnsi="Times New Roman"/>
                  <w:sz w:val="20"/>
                </w:rPr>
                <w:t>Condensed Consolidated Statements of Changes in Redeemable Preferred Stock and Stockholders Deficit for the Six Months Ended October 31,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F-9</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14">
              <w:r>
                <w:rPr>
                  <w:rStyle w:val="InternetLink"/>
                  <w:rFonts w:ascii="Times New Roman" w:hAnsi="Times New Roman"/>
                  <w:sz w:val="20"/>
                </w:rPr>
                <w:t>Condensed Consolidated Statements of Cash Flows for the Six Months Ended October 31,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F-10</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15">
              <w:r>
                <w:rPr>
                  <w:rStyle w:val="InternetLink"/>
                  <w:rFonts w:ascii="Times New Roman" w:hAnsi="Times New Roman"/>
                  <w:sz w:val="20"/>
                </w:rPr>
                <w:t>Notes to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F-11</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16">
              <w:r>
                <w:rPr>
                  <w:rStyle w:val="InternetLink"/>
                  <w:rFonts w:ascii="Times New Roman" w:hAnsi="Times New Roman"/>
                  <w:b/>
                  <w:sz w:val="20"/>
                </w:rPr>
                <w:t>Audited Consolidated Financial Statements of West Affum Intermediate Holdings Corp.</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41" w:type="dxa"/>
            <w:tcBorders/>
            <w:vAlign w:val="bottom"/>
          </w:tcPr>
          <w:p>
            <w:pPr>
              <w:pStyle w:val="TableContents"/>
              <w:bidi w:val="0"/>
              <w:spacing w:before="0" w:after="0"/>
              <w:jc w:val="left"/>
              <w:rPr/>
            </w:pPr>
            <w:hyperlink w:anchor="fin744414_17">
              <w:r>
                <w:rPr>
                  <w:rStyle w:val="InternetLink"/>
                  <w:rFonts w:ascii="Times New Roman" w:hAnsi="Times New Roman"/>
                  <w:sz w:val="20"/>
                </w:rPr>
                <w:t>Report of Independent Registered Public Accounting Firm</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F-25</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18">
              <w:r>
                <w:rPr>
                  <w:rStyle w:val="InternetLink"/>
                  <w:rFonts w:ascii="Times New Roman" w:hAnsi="Times New Roman"/>
                  <w:sz w:val="20"/>
                </w:rPr>
                <w:t>Consolidated Balance Sheets as of April 30,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F-26</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19">
              <w:r>
                <w:rPr>
                  <w:rStyle w:val="InternetLink"/>
                  <w:rFonts w:ascii="Times New Roman" w:hAnsi="Times New Roman"/>
                  <w:sz w:val="20"/>
                </w:rPr>
                <w:t>Consolidated Statements of Operations and Comprehensive Loss for the Years Ended April 30,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F-27</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20">
              <w:r>
                <w:rPr>
                  <w:rStyle w:val="InternetLink"/>
                  <w:rFonts w:ascii="Times New Roman" w:hAnsi="Times New Roman"/>
                  <w:sz w:val="20"/>
                </w:rPr>
                <w:t>Consolidated Statements of Changes in Redeemable Preferred Stock and Stockholders Deficit for the Years Ended April 30,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F-28</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21">
              <w:r>
                <w:rPr>
                  <w:rStyle w:val="InternetLink"/>
                  <w:rFonts w:ascii="Times New Roman" w:hAnsi="Times New Roman"/>
                  <w:sz w:val="20"/>
                </w:rPr>
                <w:t>Consolidated Statements of Cash Flows for the Years Ended April  30,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F-29</w:t>
            </w:r>
          </w:p>
        </w:tc>
        <w:tc>
          <w:tcPr>
            <w:tcW w:w="62" w:type="dxa"/>
            <w:tcBorders/>
            <w:vAlign w:val="bottom"/>
          </w:tcPr>
          <w:p>
            <w:pPr>
              <w:pStyle w:val="TableContents"/>
              <w:bidi w:val="0"/>
              <w:spacing w:before="0" w:after="283"/>
              <w:jc w:val="left"/>
              <w:rPr/>
            </w:pPr>
            <w:r>
              <w:rPr/>
              <w:t> </w:t>
            </w:r>
          </w:p>
        </w:tc>
      </w:tr>
      <w:tr>
        <w:trPr/>
        <w:tc>
          <w:tcPr>
            <w:tcW w:w="9441" w:type="dxa"/>
            <w:tcBorders/>
            <w:vAlign w:val="bottom"/>
          </w:tcPr>
          <w:p>
            <w:pPr>
              <w:pStyle w:val="TableContents"/>
              <w:bidi w:val="0"/>
              <w:spacing w:before="0" w:after="0"/>
              <w:jc w:val="left"/>
              <w:rPr/>
            </w:pPr>
            <w:hyperlink w:anchor="fin744414_22">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F-30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KESTRA MEDICAL TECHNOLOGIES, LTD. </w:t>
      </w:r>
    </w:p>
    <w:p>
      <w:pPr>
        <w:pStyle w:val="TextBody"/>
        <w:bidi w:val="0"/>
        <w:spacing w:before="0" w:after="0"/>
        <w:jc w:val="center"/>
        <w:rPr>
          <w:rFonts w:ascii="Times New Roman" w:hAnsi="Times New Roman"/>
          <w:b/>
          <w:sz w:val="20"/>
        </w:rPr>
      </w:pPr>
      <w:bookmarkStart w:id="29" w:name="fin744414_3"/>
      <w:bookmarkEnd w:id="29"/>
      <w:r>
        <w:rPr>
          <w:rFonts w:ascii="Times New Roman" w:hAnsi="Times New Roman"/>
          <w:b/>
          <w:sz w:val="20"/>
        </w:rPr>
        <w:t xml:space="preserve">CONDENSED BALANCE SHEETS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31, 2024 and April 30, 2024 </w:t>
      </w:r>
    </w:p>
    <w:p>
      <w:pPr>
        <w:pStyle w:val="TextBody"/>
        <w:bidi w:val="0"/>
        <w:spacing w:before="240" w:after="0"/>
        <w:jc w:val="center"/>
        <w:rPr>
          <w:rFonts w:ascii="Times New Roman" w:hAnsi="Times New Roman"/>
          <w:b/>
          <w:i/>
          <w:sz w:val="20"/>
        </w:rPr>
      </w:pPr>
      <w:r>
        <w:rPr>
          <w:rFonts w:ascii="Times New Roman" w:hAnsi="Times New Roman"/>
          <w:b/>
          <w:i/>
          <w:sz w:val="20"/>
        </w:rPr>
        <w:t xml:space="preserve">(in dollars)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60"/>
        <w:gridCol w:w="485"/>
        <w:gridCol w:w="209"/>
        <w:gridCol w:w="689"/>
        <w:gridCol w:w="155"/>
        <w:gridCol w:w="438"/>
        <w:gridCol w:w="156"/>
        <w:gridCol w:w="555"/>
        <w:gridCol w:w="158"/>
      </w:tblGrid>
      <w:tr>
        <w:trPr/>
        <w:tc>
          <w:tcPr>
            <w:tcW w:w="7360"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October 31,</w:t>
              <w:br/>
              <w:t>2024</w:t>
            </w:r>
          </w:p>
        </w:tc>
        <w:tc>
          <w:tcPr>
            <w:tcW w:w="15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711"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br/>
              <w:t>2024</w:t>
            </w:r>
          </w:p>
        </w:tc>
        <w:tc>
          <w:tcPr>
            <w:tcW w:w="158" w:type="dxa"/>
            <w:tcBorders/>
            <w:vAlign w:val="bottom"/>
          </w:tcPr>
          <w:p>
            <w:pPr>
              <w:pStyle w:val="TableContents"/>
              <w:bidi w:val="0"/>
              <w:spacing w:before="0" w:after="283"/>
              <w:jc w:val="left"/>
              <w:rPr/>
            </w:pPr>
            <w:r>
              <w:rPr/>
              <w:t> </w:t>
            </w:r>
          </w:p>
        </w:tc>
      </w:tr>
      <w:tr>
        <w:trPr/>
        <w:tc>
          <w:tcPr>
            <w:tcW w:w="73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8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6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8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360"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3)</w:t>
            </w:r>
          </w:p>
        </w:tc>
        <w:tc>
          <w:tcPr>
            <w:tcW w:w="48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7360" w:type="dxa"/>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c>
          <w:tcPr>
            <w:tcW w:w="1307" w:type="dxa"/>
            <w:gridSpan w:val="4"/>
            <w:tcBorders/>
            <w:vAlign w:val="center"/>
          </w:tcPr>
          <w:p>
            <w:pPr>
              <w:pStyle w:val="TableContents"/>
              <w:bidi w:val="0"/>
              <w:spacing w:before="0" w:after="283"/>
              <w:jc w:val="left"/>
              <w:rPr>
                <w:sz w:val="4"/>
                <w:szCs w:val="4"/>
              </w:rPr>
            </w:pPr>
            <w:r>
              <w:rPr>
                <w:sz w:val="4"/>
                <w:szCs w:val="4"/>
              </w:rPr>
            </w:r>
          </w:p>
        </w:tc>
      </w:tr>
      <w:tr>
        <w:trPr/>
        <w:tc>
          <w:tcPr>
            <w:tcW w:w="7360"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48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subscription receivable from West Affum Holdings, L.P.</w:t>
            </w:r>
          </w:p>
        </w:tc>
        <w:tc>
          <w:tcPr>
            <w:tcW w:w="48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(100</w:t>
            </w:r>
          </w:p>
        </w:tc>
        <w:tc>
          <w:tcPr>
            <w:tcW w:w="158" w:type="dxa"/>
            <w:tcBorders/>
            <w:shd w:fill="CCEEFF" w:val="clear"/>
            <w:vAlign w:val="bottom"/>
          </w:tcPr>
          <w:p>
            <w:pPr>
              <w:pStyle w:val="TableContents"/>
              <w:bidi w:val="0"/>
              <w:spacing w:before="0" w:after="283"/>
              <w:jc w:val="left"/>
              <w:rPr/>
            </w:pPr>
            <w:r>
              <w:rPr/>
              <w:t>) </w:t>
            </w:r>
          </w:p>
        </w:tc>
      </w:tr>
      <w:tr>
        <w:trPr/>
        <w:tc>
          <w:tcPr>
            <w:tcW w:w="7360"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$1.00 par value; 100 shares authorized, issued and outstanding</w:t>
            </w:r>
          </w:p>
        </w:tc>
        <w:tc>
          <w:tcPr>
            <w:tcW w:w="48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right"/>
              <w:rPr/>
            </w:pPr>
            <w:r>
              <w:rPr/>
              <w:t>100</w:t>
            </w:r>
          </w:p>
        </w:tc>
        <w:tc>
          <w:tcPr>
            <w:tcW w:w="158" w:type="dxa"/>
            <w:tcBorders/>
            <w:vAlign w:val="bottom"/>
          </w:tcPr>
          <w:p>
            <w:pPr>
              <w:pStyle w:val="TableContents"/>
              <w:bidi w:val="0"/>
              <w:spacing w:before="0" w:after="283"/>
              <w:jc w:val="left"/>
              <w:rPr/>
            </w:pPr>
            <w:r>
              <w:rPr/>
              <w:t> </w:t>
            </w:r>
          </w:p>
        </w:tc>
      </w:tr>
      <w:tr>
        <w:trPr/>
        <w:tc>
          <w:tcPr>
            <w:tcW w:w="7360"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48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360"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to the Condensed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KESTRA MEDICAL TECHNOLOGIES, LTD. </w:t>
      </w:r>
    </w:p>
    <w:p>
      <w:pPr>
        <w:pStyle w:val="TextBody"/>
        <w:bidi w:val="0"/>
        <w:spacing w:before="0" w:after="0"/>
        <w:jc w:val="center"/>
        <w:rPr>
          <w:rFonts w:ascii="Times New Roman" w:hAnsi="Times New Roman"/>
          <w:b/>
          <w:sz w:val="20"/>
        </w:rPr>
      </w:pPr>
      <w:bookmarkStart w:id="30" w:name="fin744414_4"/>
      <w:bookmarkEnd w:id="30"/>
      <w:r>
        <w:rPr>
          <w:rFonts w:ascii="Times New Roman" w:hAnsi="Times New Roman"/>
          <w:b/>
          <w:sz w:val="20"/>
        </w:rPr>
        <w:t xml:space="preserve">NOTES TO UNAUDITED CONDENSED BALANCE SHEETS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Kestra Medical Technologies, Ltd. (the Company) was formed as a limited company in Bermuda on May 20, 2021 and is a wholly owned subsidiary of West Affum Holdings, L.P. (West Affum LP), a company in the Cayman Islands. The Company was formed for the purpose of completing a public offering and related transactions to carry on the business of West Affum Intermediate Holdings Corp. and subsidiaries. Upon completion of a public offering, the Companys principal asset will be a controlling interest in the business and affairs of West Affum Intermediate Holdings Corp. and subsidiaries. </w:t>
      </w:r>
    </w:p>
    <w:p>
      <w:pPr>
        <w:pStyle w:val="TextBody"/>
        <w:bidi w:val="0"/>
        <w:spacing w:before="240" w:after="0"/>
        <w:jc w:val="left"/>
        <w:rPr>
          <w:rFonts w:ascii="Times New Roman" w:hAnsi="Times New Roman"/>
          <w:b/>
          <w:sz w:val="20"/>
        </w:rPr>
      </w:pPr>
      <w:r>
        <w:rPr>
          <w:rFonts w:ascii="Times New Roman" w:hAnsi="Times New Roman"/>
          <w:b/>
          <w:sz w:val="20"/>
        </w:rPr>
        <w:t xml:space="preserve">2. Significant Accounting Policies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interim condensed Balance Sheets are presented in accordance with generally accepted accounting principles in the United States of America. Separate statements of income, comprehensive income, changes in shareholders equity, and cash flows have not been presented because the Company has not engaged in any activities except in connection with its 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fiscal year end is April 30. </w:t>
      </w:r>
    </w:p>
    <w:p>
      <w:pPr>
        <w:pStyle w:val="TextBody"/>
        <w:bidi w:val="0"/>
        <w:spacing w:before="240" w:after="0"/>
        <w:jc w:val="left"/>
        <w:rPr>
          <w:rFonts w:ascii="Times New Roman" w:hAnsi="Times New Roman"/>
          <w:sz w:val="20"/>
        </w:rPr>
      </w:pPr>
      <w:r>
        <w:rPr>
          <w:rFonts w:ascii="Times New Roman" w:hAnsi="Times New Roman"/>
          <w:sz w:val="20"/>
        </w:rPr>
        <w:t xml:space="preserve">The unaudited interim condensed Balance Sheets have been prepared assuming the Company will continue as a going concern, which contemplates, among other things, the realization of assets and satisfaction of liabilities in the normal course of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3. Commitments and Contingencies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2024 and April 30, 2024, the Company has no commitments and contingencies. </w:t>
      </w:r>
    </w:p>
    <w:p>
      <w:pPr>
        <w:pStyle w:val="TextBody"/>
        <w:bidi w:val="0"/>
        <w:spacing w:before="240" w:after="0"/>
        <w:jc w:val="left"/>
        <w:rPr>
          <w:rFonts w:ascii="Times New Roman" w:hAnsi="Times New Roman"/>
          <w:b/>
          <w:sz w:val="20"/>
        </w:rPr>
      </w:pPr>
      <w:r>
        <w:rPr>
          <w:rFonts w:ascii="Times New Roman" w:hAnsi="Times New Roman"/>
          <w:b/>
          <w:sz w:val="20"/>
        </w:rPr>
        <w:t xml:space="preserve">4. Shareholders Equity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2024 and April 30, 2024, the Company has authorized for issuance 100 Ordinary Shares with $1.00 par value, all of which are outstanding with $100 shares subscription receivable from West Affum LP accounted for as contra-equity on the unaudited interim condensed Balance Sheets. </w:t>
      </w:r>
    </w:p>
    <w:p>
      <w:pPr>
        <w:pStyle w:val="TextBody"/>
        <w:bidi w:val="0"/>
        <w:spacing w:before="240" w:after="0"/>
        <w:jc w:val="left"/>
        <w:rPr>
          <w:rFonts w:ascii="Times New Roman" w:hAnsi="Times New Roman"/>
          <w:b/>
          <w:sz w:val="20"/>
        </w:rPr>
      </w:pPr>
      <w:r>
        <w:rPr>
          <w:rFonts w:ascii="Times New Roman" w:hAnsi="Times New Roman"/>
          <w:b/>
          <w:sz w:val="20"/>
        </w:rPr>
        <w:t xml:space="preserve">5. Subsequent Events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subsequent events through the date the unaudited interim condensed Balance Sheets were available to be issued on January 17, 2025, and through February 26, 2025, the date the unaudited interim condensed Balance Sheets were available to be reissued. The Company concluded that there were no subsequent events that require adjustment to the unaudited interim condensed Balance Sheets or disclosure in the notes to the unaudited interim condensed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fin744414_6"/>
      <w:bookmarkEnd w:id="31"/>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Shareholder of Kestra Medical Technologies, Ltd. </w:t>
      </w:r>
    </w:p>
    <w:p>
      <w:pPr>
        <w:pStyle w:val="TextBody"/>
        <w:bidi w:val="0"/>
        <w:spacing w:before="24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audited the accompanying balance sheets of Kestra Medical Technologies, Ltd. (the Company) as of April 30, 2024 and 2023, including the related notes (collectively referred to as the financial statements). In our opinion, the financial statements present fairly, in all material respects, the financial position of the Company as of April 30, 2024 and 2023 in conformity with accounting principles generally accepted in the 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24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28, 2024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KESTRA MEDICAL TECHNOLOGIES, LTD. </w:t>
      </w:r>
    </w:p>
    <w:p>
      <w:pPr>
        <w:pStyle w:val="TextBody"/>
        <w:bidi w:val="0"/>
        <w:spacing w:before="0" w:after="0"/>
        <w:jc w:val="center"/>
        <w:rPr>
          <w:rFonts w:ascii="Times New Roman" w:hAnsi="Times New Roman"/>
          <w:b/>
          <w:sz w:val="20"/>
        </w:rPr>
      </w:pPr>
      <w:bookmarkStart w:id="32" w:name="fin744414_7"/>
      <w:bookmarkEnd w:id="32"/>
      <w:r>
        <w:rPr>
          <w:rFonts w:ascii="Times New Roman" w:hAnsi="Times New Roman"/>
          <w:b/>
          <w:sz w:val="20"/>
        </w:rPr>
        <w:t xml:space="preserve">BALANCE SHEETS </w:t>
      </w:r>
    </w:p>
    <w:p>
      <w:pPr>
        <w:pStyle w:val="TextBody"/>
        <w:bidi w:val="0"/>
        <w:spacing w:before="240" w:after="0"/>
        <w:jc w:val="center"/>
        <w:rPr>
          <w:rFonts w:ascii="Times New Roman" w:hAnsi="Times New Roman"/>
          <w:b/>
          <w:sz w:val="20"/>
        </w:rPr>
      </w:pPr>
      <w:r>
        <w:rPr>
          <w:rFonts w:ascii="Times New Roman" w:hAnsi="Times New Roman"/>
          <w:b/>
          <w:sz w:val="20"/>
        </w:rPr>
        <w:t xml:space="preserve">April 30, 2024 and 2023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31"/>
        <w:gridCol w:w="246"/>
        <w:gridCol w:w="140"/>
        <w:gridCol w:w="463"/>
        <w:gridCol w:w="155"/>
        <w:gridCol w:w="207"/>
        <w:gridCol w:w="140"/>
        <w:gridCol w:w="463"/>
        <w:gridCol w:w="160"/>
      </w:tblGrid>
      <w:tr>
        <w:trPr/>
        <w:tc>
          <w:tcPr>
            <w:tcW w:w="8231"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231"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0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0" w:type="dxa"/>
            <w:tcBorders/>
            <w:vAlign w:val="bottom"/>
          </w:tcPr>
          <w:p>
            <w:pPr>
              <w:pStyle w:val="TableContents"/>
              <w:bidi w:val="0"/>
              <w:spacing w:before="0" w:after="283"/>
              <w:jc w:val="left"/>
              <w:rPr/>
            </w:pPr>
            <w:r>
              <w:rPr/>
              <w:t> </w:t>
            </w:r>
          </w:p>
        </w:tc>
      </w:tr>
      <w:tr>
        <w:trPr/>
        <w:tc>
          <w:tcPr>
            <w:tcW w:w="82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8231"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23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8231"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2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3)</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8231" w:type="dxa"/>
            <w:tcBorders/>
            <w:vAlign w:val="center"/>
          </w:tcPr>
          <w:p>
            <w:pPr>
              <w:pStyle w:val="TableContents"/>
              <w:bidi w:val="0"/>
              <w:spacing w:before="0" w:after="283"/>
              <w:jc w:val="left"/>
              <w:rPr>
                <w:sz w:val="4"/>
                <w:szCs w:val="4"/>
              </w:rPr>
            </w:pPr>
            <w:r>
              <w:rPr>
                <w:sz w:val="4"/>
                <w:szCs w:val="4"/>
              </w:rPr>
            </w:r>
          </w:p>
        </w:tc>
        <w:tc>
          <w:tcPr>
            <w:tcW w:w="1004"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r>
      <w:tr>
        <w:trPr/>
        <w:tc>
          <w:tcPr>
            <w:tcW w:w="8231"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8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subscription receivable from West Affum Holdings, L.P.</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(100</w:t>
            </w:r>
          </w:p>
        </w:tc>
        <w:tc>
          <w:tcPr>
            <w:tcW w:w="160" w:type="dxa"/>
            <w:tcBorders/>
            <w:shd w:fill="CCEEFF" w:val="clear"/>
            <w:vAlign w:val="bottom"/>
          </w:tcPr>
          <w:p>
            <w:pPr>
              <w:pStyle w:val="TableContents"/>
              <w:bidi w:val="0"/>
              <w:spacing w:before="0" w:after="283"/>
              <w:jc w:val="left"/>
              <w:rPr/>
            </w:pPr>
            <w:r>
              <w:rPr/>
              <w:t>) </w:t>
            </w:r>
          </w:p>
        </w:tc>
      </w:tr>
      <w:tr>
        <w:trPr/>
        <w:tc>
          <w:tcPr>
            <w:tcW w:w="8231"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$1.00 par value; 100 shares authorized, issued and outstanding</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100</w:t>
            </w:r>
          </w:p>
        </w:tc>
        <w:tc>
          <w:tcPr>
            <w:tcW w:w="160" w:type="dxa"/>
            <w:tcBorders/>
            <w:vAlign w:val="bottom"/>
          </w:tcPr>
          <w:p>
            <w:pPr>
              <w:pStyle w:val="TableContents"/>
              <w:bidi w:val="0"/>
              <w:spacing w:before="0" w:after="283"/>
              <w:jc w:val="left"/>
              <w:rPr/>
            </w:pPr>
            <w:r>
              <w:rPr/>
              <w:t> </w:t>
            </w:r>
          </w:p>
        </w:tc>
      </w:tr>
      <w:tr>
        <w:trPr/>
        <w:tc>
          <w:tcPr>
            <w:tcW w:w="8231"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8231"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to the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KESTRA MEDICAL TECHNOLOGIES, LTD. </w:t>
      </w:r>
    </w:p>
    <w:p>
      <w:pPr>
        <w:pStyle w:val="TextBody"/>
        <w:bidi w:val="0"/>
        <w:spacing w:before="0" w:after="0"/>
        <w:jc w:val="center"/>
        <w:rPr>
          <w:rFonts w:ascii="Times New Roman" w:hAnsi="Times New Roman"/>
          <w:b/>
          <w:sz w:val="20"/>
        </w:rPr>
      </w:pPr>
      <w:bookmarkStart w:id="33" w:name="fin744414_8"/>
      <w:bookmarkEnd w:id="33"/>
      <w:r>
        <w:rPr>
          <w:rFonts w:ascii="Times New Roman" w:hAnsi="Times New Roman"/>
          <w:b/>
          <w:sz w:val="20"/>
        </w:rPr>
        <w:t xml:space="preserve">NOTES TO BALANCE SHEETS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Kestra Medical Technologies, Ltd. (the Company) was formed as a limited company in Bermuda on May 20, 2021 and is a wholly owned subsidiary of West Affum Holdings, L.P. (West Affum LP), a company in the Cayman Islands. The Company was formed for the purpose of completing a public offering and related transactions to carry on the business of West Affum Intermediate Holdings Corp. and subsidiaries. Upon completion of a public offering, the Companys principal asset will be a controlling interest in the business and affairs of West Affum Intermediate Holdings Corp. and subsidiaries. </w:t>
      </w:r>
    </w:p>
    <w:p>
      <w:pPr>
        <w:pStyle w:val="TextBody"/>
        <w:bidi w:val="0"/>
        <w:spacing w:before="240" w:after="0"/>
        <w:jc w:val="left"/>
        <w:rPr>
          <w:rFonts w:ascii="Times New Roman" w:hAnsi="Times New Roman"/>
          <w:b/>
          <w:sz w:val="20"/>
        </w:rPr>
      </w:pPr>
      <w:r>
        <w:rPr>
          <w:rFonts w:ascii="Times New Roman" w:hAnsi="Times New Roman"/>
          <w:b/>
          <w:sz w:val="20"/>
        </w:rPr>
        <w:t xml:space="preserve">2. Significant Accounting Policies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Balance Sheets are presented in accordance with generally accepted accounting principles in the United States of America. Separate statements of income, comprehensive income, changes in shareholders equity, and cash flows have not been presented because the Company has not engaged in any activities except in connection with its 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fiscal year end is April 30. </w:t>
      </w:r>
    </w:p>
    <w:p>
      <w:pPr>
        <w:pStyle w:val="TextBody"/>
        <w:bidi w:val="0"/>
        <w:spacing w:before="240" w:after="0"/>
        <w:jc w:val="left"/>
        <w:rPr>
          <w:rFonts w:ascii="Times New Roman" w:hAnsi="Times New Roman"/>
          <w:sz w:val="20"/>
        </w:rPr>
      </w:pPr>
      <w:r>
        <w:rPr>
          <w:rFonts w:ascii="Times New Roman" w:hAnsi="Times New Roman"/>
          <w:sz w:val="20"/>
        </w:rPr>
        <w:t xml:space="preserve">The Balance Sheets have been prepared assuming the Company will continue as a going concern, which contemplates, among other things, the realization of assets and satisfaction of liabilities in the normal course of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3. Commitments and Contingencies </w:t>
      </w:r>
    </w:p>
    <w:p>
      <w:pPr>
        <w:pStyle w:val="TextBody"/>
        <w:bidi w:val="0"/>
        <w:spacing w:before="240" w:after="0"/>
        <w:jc w:val="left"/>
        <w:rPr>
          <w:rFonts w:ascii="Times New Roman" w:hAnsi="Times New Roman"/>
          <w:sz w:val="20"/>
        </w:rPr>
      </w:pPr>
      <w:r>
        <w:rPr>
          <w:rFonts w:ascii="Times New Roman" w:hAnsi="Times New Roman"/>
          <w:sz w:val="20"/>
        </w:rPr>
        <w:t xml:space="preserve">As of April 30, 2024, the Company has no commitments and contingencies. </w:t>
      </w:r>
    </w:p>
    <w:p>
      <w:pPr>
        <w:pStyle w:val="TextBody"/>
        <w:bidi w:val="0"/>
        <w:spacing w:before="240" w:after="0"/>
        <w:jc w:val="left"/>
        <w:rPr>
          <w:rFonts w:ascii="Times New Roman" w:hAnsi="Times New Roman"/>
          <w:b/>
          <w:sz w:val="20"/>
        </w:rPr>
      </w:pPr>
      <w:r>
        <w:rPr>
          <w:rFonts w:ascii="Times New Roman" w:hAnsi="Times New Roman"/>
          <w:b/>
          <w:sz w:val="20"/>
        </w:rPr>
        <w:t xml:space="preserve">4. Shareholders Equity </w:t>
      </w:r>
    </w:p>
    <w:p>
      <w:pPr>
        <w:pStyle w:val="TextBody"/>
        <w:bidi w:val="0"/>
        <w:spacing w:before="240" w:after="0"/>
        <w:jc w:val="left"/>
        <w:rPr>
          <w:rFonts w:ascii="Times New Roman" w:hAnsi="Times New Roman"/>
          <w:sz w:val="20"/>
        </w:rPr>
      </w:pPr>
      <w:r>
        <w:rPr>
          <w:rFonts w:ascii="Times New Roman" w:hAnsi="Times New Roman"/>
          <w:sz w:val="20"/>
        </w:rPr>
        <w:t xml:space="preserve">As of April 30, 2024 and 2023, the Company has authorized for issuance 100 Ordinary Shares with $1.00 par value, all of which are outstanding with $100 shares subscription receivable from West Affum LP accounted for as contra-equity on the Balance Sheets. </w:t>
      </w:r>
    </w:p>
    <w:p>
      <w:pPr>
        <w:pStyle w:val="TextBody"/>
        <w:bidi w:val="0"/>
        <w:spacing w:before="240" w:after="0"/>
        <w:jc w:val="left"/>
        <w:rPr>
          <w:rFonts w:ascii="Times New Roman" w:hAnsi="Times New Roman"/>
          <w:b/>
          <w:sz w:val="20"/>
        </w:rPr>
      </w:pPr>
      <w:r>
        <w:rPr>
          <w:rFonts w:ascii="Times New Roman" w:hAnsi="Times New Roman"/>
          <w:b/>
          <w:sz w:val="20"/>
        </w:rPr>
        <w:t xml:space="preserve">5. Subsequent Events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subsequent events through the date the Balance Sheets were available to be issued on August 28, 2024. The Company concluded that there were no subsequent events that require adjustment to the Balance Sheets or disclosure in the notes to the Balance Sheets. </w:t>
      </w:r>
    </w:p>
    <w:p>
      <w:pPr>
        <w:pStyle w:val="TextBody"/>
        <w:bidi w:val="0"/>
        <w:spacing w:before="240" w:after="0"/>
        <w:jc w:val="left"/>
        <w:rPr>
          <w:rFonts w:ascii="Times New Roman" w:hAnsi="Times New Roman"/>
          <w:b/>
          <w:sz w:val="20"/>
        </w:rPr>
      </w:pPr>
      <w:r>
        <w:rPr>
          <w:rFonts w:ascii="Times New Roman" w:hAnsi="Times New Roman"/>
          <w:b/>
          <w:sz w:val="20"/>
        </w:rPr>
        <w:t xml:space="preserve">6. Subsequent Events (unaudited)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subsequent events from the date the Balance Sheets were originally available to be issued on August 28, 2024 through February 26, 2025, the date the Balance Sheets were available to be reissued. The Company concluded that there were no subsequent events that require adjustment to the Balance Sheets or disclosure in the notes to the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34" w:name="fin744414_11"/>
      <w:bookmarkEnd w:id="34"/>
      <w:r>
        <w:rPr>
          <w:rFonts w:ascii="Times New Roman" w:hAnsi="Times New Roman"/>
          <w:b/>
          <w:sz w:val="20"/>
        </w:rPr>
        <w:t xml:space="preserve">CONDENSED CONSOLIDATED BALANCE SHEETS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31, 2024 and April 30, 2024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share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5"/>
        <w:gridCol w:w="528"/>
        <w:gridCol w:w="178"/>
        <w:gridCol w:w="1132"/>
        <w:gridCol w:w="155"/>
        <w:gridCol w:w="487"/>
        <w:gridCol w:w="147"/>
        <w:gridCol w:w="925"/>
        <w:gridCol w:w="158"/>
      </w:tblGrid>
      <w:tr>
        <w:trPr/>
        <w:tc>
          <w:tcPr>
            <w:tcW w:w="6495" w:type="dxa"/>
            <w:tcBorders/>
            <w:vAlign w:val="center"/>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October 31, 2024</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 2024</w:t>
            </w:r>
          </w:p>
        </w:tc>
        <w:tc>
          <w:tcPr>
            <w:tcW w:w="158" w:type="dxa"/>
            <w:tcBorders/>
            <w:vAlign w:val="bottom"/>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76,918</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8,249</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5,394</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1,998</w:t>
            </w:r>
          </w:p>
        </w:tc>
        <w:tc>
          <w:tcPr>
            <w:tcW w:w="158" w:type="dxa"/>
            <w:tcBorders/>
            <w:vAlign w:val="bottom"/>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Disposable medical equipment supplies</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4,323</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3,290</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1,295</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1,370</w:t>
            </w:r>
          </w:p>
        </w:tc>
        <w:tc>
          <w:tcPr>
            <w:tcW w:w="158" w:type="dxa"/>
            <w:tcBorders/>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87,930</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14,907</w:t>
            </w:r>
          </w:p>
        </w:tc>
        <w:tc>
          <w:tcPr>
            <w:tcW w:w="158" w:type="dxa"/>
            <w:tcBorders/>
            <w:shd w:fill="CCEEFF" w:val="clear"/>
            <w:vAlign w:val="bottom"/>
          </w:tcPr>
          <w:p>
            <w:pPr>
              <w:pStyle w:val="TableContents"/>
              <w:bidi w:val="0"/>
              <w:spacing w:before="0" w:after="283"/>
              <w:jc w:val="left"/>
              <w:rPr/>
            </w:pPr>
            <w:r>
              <w:rPr/>
              <w:t> </w:t>
            </w:r>
          </w:p>
        </w:tc>
      </w:tr>
      <w:tr>
        <w:trPr>
          <w:trHeight w:val="75" w:hRule="atLeast"/>
        </w:trPr>
        <w:tc>
          <w:tcPr>
            <w:tcW w:w="6495" w:type="dxa"/>
            <w:tcBorders/>
            <w:vAlign w:val="center"/>
          </w:tcPr>
          <w:p>
            <w:pPr>
              <w:pStyle w:val="TableContents"/>
              <w:bidi w:val="0"/>
              <w:spacing w:before="0" w:after="283"/>
              <w:jc w:val="left"/>
              <w:rPr>
                <w:sz w:val="4"/>
                <w:szCs w:val="4"/>
              </w:rPr>
            </w:pPr>
            <w:r>
              <w:rPr>
                <w:sz w:val="4"/>
                <w:szCs w:val="4"/>
              </w:rPr>
            </w:r>
          </w:p>
        </w:tc>
        <w:tc>
          <w:tcPr>
            <w:tcW w:w="1993" w:type="dxa"/>
            <w:gridSpan w:val="4"/>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2,043</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2,286</w:t>
            </w:r>
          </w:p>
        </w:tc>
        <w:tc>
          <w:tcPr>
            <w:tcW w:w="158" w:type="dxa"/>
            <w:tcBorders/>
            <w:vAlign w:val="bottom"/>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2,134</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1,710</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334</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334</w:t>
            </w:r>
          </w:p>
        </w:tc>
        <w:tc>
          <w:tcPr>
            <w:tcW w:w="158" w:type="dxa"/>
            <w:tcBorders/>
            <w:vAlign w:val="bottom"/>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28,947</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26,105</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607</w:t>
            </w:r>
          </w:p>
        </w:tc>
        <w:tc>
          <w:tcPr>
            <w:tcW w:w="158" w:type="dxa"/>
            <w:tcBorders/>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121,454</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45,949</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120" w:hRule="atLeast"/>
        </w:trPr>
        <w:tc>
          <w:tcPr>
            <w:tcW w:w="6495" w:type="dxa"/>
            <w:tcBorders/>
            <w:vAlign w:val="center"/>
          </w:tcPr>
          <w:p>
            <w:pPr>
              <w:pStyle w:val="TableContents"/>
              <w:bidi w:val="0"/>
              <w:spacing w:before="0" w:after="283"/>
              <w:jc w:val="left"/>
              <w:rPr>
                <w:sz w:val="4"/>
                <w:szCs w:val="4"/>
              </w:rPr>
            </w:pPr>
            <w:r>
              <w:rPr>
                <w:sz w:val="4"/>
                <w:szCs w:val="4"/>
              </w:rPr>
            </w:r>
          </w:p>
        </w:tc>
        <w:tc>
          <w:tcPr>
            <w:tcW w:w="1993" w:type="dxa"/>
            <w:gridSpan w:val="4"/>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r>
      <w:tr>
        <w:trPr/>
        <w:tc>
          <w:tcPr>
            <w:tcW w:w="6495"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Preferred Stock and Stockholders Deficit</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20,197</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23,892</w:t>
            </w:r>
          </w:p>
        </w:tc>
        <w:tc>
          <w:tcPr>
            <w:tcW w:w="158" w:type="dxa"/>
            <w:tcBorders/>
            <w:vAlign w:val="bottom"/>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11,115</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9,079</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31,312</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32,971</w:t>
            </w:r>
          </w:p>
        </w:tc>
        <w:tc>
          <w:tcPr>
            <w:tcW w:w="158" w:type="dxa"/>
            <w:tcBorders/>
            <w:vAlign w:val="bottom"/>
          </w:tcPr>
          <w:p>
            <w:pPr>
              <w:pStyle w:val="TableContents"/>
              <w:bidi w:val="0"/>
              <w:spacing w:before="0" w:after="283"/>
              <w:jc w:val="left"/>
              <w:rPr/>
            </w:pPr>
            <w:r>
              <w:rPr/>
              <w:t> </w:t>
            </w:r>
          </w:p>
        </w:tc>
      </w:tr>
      <w:tr>
        <w:trPr>
          <w:trHeight w:val="75" w:hRule="atLeast"/>
        </w:trPr>
        <w:tc>
          <w:tcPr>
            <w:tcW w:w="6495" w:type="dxa"/>
            <w:tcBorders/>
            <w:vAlign w:val="center"/>
          </w:tcPr>
          <w:p>
            <w:pPr>
              <w:pStyle w:val="TableContents"/>
              <w:bidi w:val="0"/>
              <w:spacing w:before="0" w:after="283"/>
              <w:jc w:val="left"/>
              <w:rPr>
                <w:sz w:val="4"/>
                <w:szCs w:val="4"/>
              </w:rPr>
            </w:pPr>
            <w:r>
              <w:rPr>
                <w:sz w:val="4"/>
                <w:szCs w:val="4"/>
              </w:rPr>
            </w:r>
          </w:p>
        </w:tc>
        <w:tc>
          <w:tcPr>
            <w:tcW w:w="1993" w:type="dxa"/>
            <w:gridSpan w:val="4"/>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2,758</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2,633</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76</w:t>
            </w:r>
          </w:p>
        </w:tc>
        <w:tc>
          <w:tcPr>
            <w:tcW w:w="158" w:type="dxa"/>
            <w:tcBorders/>
            <w:vAlign w:val="bottom"/>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43,343</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42,536</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77,489</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78,216</w:t>
            </w:r>
          </w:p>
        </w:tc>
        <w:tc>
          <w:tcPr>
            <w:tcW w:w="158" w:type="dxa"/>
            <w:tcBorders/>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75" w:hRule="atLeast"/>
        </w:trPr>
        <w:tc>
          <w:tcPr>
            <w:tcW w:w="6495" w:type="dxa"/>
            <w:tcBorders/>
            <w:vAlign w:val="center"/>
          </w:tcPr>
          <w:p>
            <w:pPr>
              <w:pStyle w:val="TableContents"/>
              <w:bidi w:val="0"/>
              <w:spacing w:before="0" w:after="283"/>
              <w:jc w:val="left"/>
              <w:rPr>
                <w:sz w:val="4"/>
                <w:szCs w:val="4"/>
              </w:rPr>
            </w:pPr>
            <w:r>
              <w:rPr>
                <w:sz w:val="4"/>
                <w:szCs w:val="4"/>
              </w:rPr>
            </w:r>
          </w:p>
        </w:tc>
        <w:tc>
          <w:tcPr>
            <w:tcW w:w="1993" w:type="dxa"/>
            <w:gridSpan w:val="4"/>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14)</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6495" w:type="dxa"/>
            <w:tcBorders/>
            <w:vAlign w:val="center"/>
          </w:tcPr>
          <w:p>
            <w:pPr>
              <w:pStyle w:val="TableContents"/>
              <w:bidi w:val="0"/>
              <w:spacing w:before="0" w:after="283"/>
              <w:jc w:val="left"/>
              <w:rPr>
                <w:sz w:val="4"/>
                <w:szCs w:val="4"/>
              </w:rPr>
            </w:pPr>
            <w:r>
              <w:rPr>
                <w:sz w:val="4"/>
                <w:szCs w:val="4"/>
              </w:rPr>
            </w:r>
          </w:p>
        </w:tc>
        <w:tc>
          <w:tcPr>
            <w:tcW w:w="1993" w:type="dxa"/>
            <w:gridSpan w:val="4"/>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Redeemable preferred stock, $0.01 par value; 5,000,000 shares authorized; 280,510 and 177,110 shares issued and outstanding as of October 31, 2024 and April 30, 2024, respectively</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280,510</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177,110</w:t>
            </w:r>
          </w:p>
        </w:tc>
        <w:tc>
          <w:tcPr>
            <w:tcW w:w="158" w:type="dxa"/>
            <w:tcBorders/>
            <w:vAlign w:val="bottom"/>
          </w:tcPr>
          <w:p>
            <w:pPr>
              <w:pStyle w:val="TableContents"/>
              <w:bidi w:val="0"/>
              <w:spacing w:before="0" w:after="283"/>
              <w:jc w:val="left"/>
              <w:rPr/>
            </w:pPr>
            <w:r>
              <w:rPr/>
              <w:t> </w:t>
            </w:r>
          </w:p>
        </w:tc>
      </w:tr>
      <w:tr>
        <w:trPr>
          <w:trHeight w:val="75" w:hRule="atLeast"/>
        </w:trPr>
        <w:tc>
          <w:tcPr>
            <w:tcW w:w="6495" w:type="dxa"/>
            <w:tcBorders/>
            <w:vAlign w:val="center"/>
          </w:tcPr>
          <w:p>
            <w:pPr>
              <w:pStyle w:val="TableContents"/>
              <w:bidi w:val="0"/>
              <w:spacing w:before="0" w:after="283"/>
              <w:jc w:val="left"/>
              <w:rPr>
                <w:sz w:val="4"/>
                <w:szCs w:val="4"/>
              </w:rPr>
            </w:pPr>
            <w:r>
              <w:rPr>
                <w:sz w:val="4"/>
                <w:szCs w:val="4"/>
              </w:rPr>
            </w:r>
          </w:p>
        </w:tc>
        <w:tc>
          <w:tcPr>
            <w:tcW w:w="1993" w:type="dxa"/>
            <w:gridSpan w:val="4"/>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6495" w:type="dxa"/>
            <w:tcBorders/>
            <w:vAlign w:val="center"/>
          </w:tcPr>
          <w:p>
            <w:pPr>
              <w:pStyle w:val="TableContents"/>
              <w:bidi w:val="0"/>
              <w:spacing w:before="0" w:after="283"/>
              <w:jc w:val="left"/>
              <w:rPr>
                <w:sz w:val="4"/>
                <w:szCs w:val="4"/>
              </w:rPr>
            </w:pPr>
            <w:r>
              <w:rPr>
                <w:sz w:val="4"/>
                <w:szCs w:val="4"/>
              </w:rPr>
            </w:r>
          </w:p>
        </w:tc>
        <w:tc>
          <w:tcPr>
            <w:tcW w:w="1993" w:type="dxa"/>
            <w:gridSpan w:val="4"/>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5,000,000 shares authorized; 105,808 shares issued and outstanding</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193,733</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197,057</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(446,687</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(406,435</w:t>
            </w:r>
          </w:p>
        </w:tc>
        <w:tc>
          <w:tcPr>
            <w:tcW w:w="158" w:type="dxa"/>
            <w:tcBorders/>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West Affum Intermediate Holdings Corp. stockholders deficit</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(252,953</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(209,377</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16,408</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52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(236,545</w:t>
            </w:r>
          </w:p>
        </w:tc>
        <w:tc>
          <w:tcPr>
            <w:tcW w:w="155"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(209,377</w:t>
            </w:r>
          </w:p>
        </w:tc>
        <w:tc>
          <w:tcPr>
            <w:tcW w:w="158"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deficit</w:t>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121,454</w:t>
            </w:r>
          </w:p>
        </w:tc>
        <w:tc>
          <w:tcPr>
            <w:tcW w:w="155"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45,949</w:t>
            </w:r>
          </w:p>
        </w:tc>
        <w:tc>
          <w:tcPr>
            <w:tcW w:w="158" w:type="dxa"/>
            <w:tcBorders/>
            <w:vAlign w:val="bottom"/>
          </w:tcPr>
          <w:p>
            <w:pPr>
              <w:pStyle w:val="TableContents"/>
              <w:bidi w:val="0"/>
              <w:spacing w:before="0" w:after="283"/>
              <w:jc w:val="left"/>
              <w:rPr/>
            </w:pPr>
            <w:r>
              <w:rPr/>
              <w:t> </w:t>
            </w:r>
          </w:p>
        </w:tc>
      </w:tr>
      <w:tr>
        <w:trPr/>
        <w:tc>
          <w:tcPr>
            <w:tcW w:w="6495"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35" w:name="fin744414_12"/>
      <w:bookmarkEnd w:id="35"/>
      <w:r>
        <w:rPr>
          <w:rFonts w:ascii="Times New Roman" w:hAnsi="Times New Roman"/>
          <w:b/>
          <w:sz w:val="20"/>
        </w:rPr>
        <w:t xml:space="preserve">CONDENSED CONSOLIDATED STATEMENTS OF OPERATIONS AND COMPREHENSIVE LOSS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(in thousands, except share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86"/>
        <w:gridCol w:w="224"/>
        <w:gridCol w:w="140"/>
        <w:gridCol w:w="803"/>
        <w:gridCol w:w="155"/>
        <w:gridCol w:w="195"/>
        <w:gridCol w:w="140"/>
        <w:gridCol w:w="803"/>
        <w:gridCol w:w="159"/>
      </w:tblGrid>
      <w:tr>
        <w:trPr/>
        <w:tc>
          <w:tcPr>
            <w:tcW w:w="7586"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8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236"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Six Months Ended</w:t>
              <w:br/>
              <w:t>October 31,</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27,492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9,483</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17,462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11,398</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10,030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(1,915</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costs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6,913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7,934</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40,682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34,919</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47,595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42,853</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(37,565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(44,768</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3,276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2,644</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2,768</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provision for income taxes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(40,929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(50,180</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(40,944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(50,217</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(692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attributable to West Affum Intermediate Holdings Corp.</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(40,252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(50,217</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Undeclared preferred stock dividends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5,706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2,915</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 basic and diluted</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(45,958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(53,132</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7586" w:type="dxa"/>
            <w:tcBorders/>
            <w:vAlign w:val="center"/>
          </w:tcPr>
          <w:p>
            <w:pPr>
              <w:pStyle w:val="TableContents"/>
              <w:bidi w:val="0"/>
              <w:spacing w:before="0" w:after="283"/>
              <w:jc w:val="left"/>
              <w:rPr>
                <w:sz w:val="4"/>
                <w:szCs w:val="4"/>
              </w:rPr>
            </w:pPr>
            <w:r>
              <w:rPr>
                <w:sz w:val="4"/>
                <w:szCs w:val="4"/>
              </w:rPr>
            </w:r>
          </w:p>
        </w:tc>
        <w:tc>
          <w:tcPr>
            <w:tcW w:w="1322"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 basic and diluted</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(502</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105,808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105,808</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36" w:name="fin744414_13"/>
      <w:bookmarkEnd w:id="36"/>
      <w:r>
        <w:rPr>
          <w:rFonts w:ascii="Times New Roman" w:hAnsi="Times New Roman"/>
          <w:b/>
          <w:sz w:val="20"/>
        </w:rPr>
        <w:t xml:space="preserve">CONDENSED CONSOLIDATED STATEMENTS OF CHANGES IN REDEEMABLE PREFERRED STOCK AND STOCKHOLDERS DEFICIT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(in thousands, except share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41"/>
        <w:gridCol w:w="68"/>
        <w:gridCol w:w="60"/>
        <w:gridCol w:w="803"/>
        <w:gridCol w:w="68"/>
        <w:gridCol w:w="60"/>
        <w:gridCol w:w="142"/>
        <w:gridCol w:w="803"/>
        <w:gridCol w:w="81"/>
        <w:gridCol w:w="68"/>
        <w:gridCol w:w="60"/>
        <w:gridCol w:w="802"/>
        <w:gridCol w:w="68"/>
        <w:gridCol w:w="68"/>
        <w:gridCol w:w="304"/>
        <w:gridCol w:w="305"/>
        <w:gridCol w:w="68"/>
        <w:gridCol w:w="68"/>
        <w:gridCol w:w="142"/>
        <w:gridCol w:w="803"/>
        <w:gridCol w:w="155"/>
        <w:gridCol w:w="68"/>
        <w:gridCol w:w="142"/>
        <w:gridCol w:w="886"/>
        <w:gridCol w:w="156"/>
        <w:gridCol w:w="68"/>
        <w:gridCol w:w="142"/>
        <w:gridCol w:w="680"/>
        <w:gridCol w:w="155"/>
        <w:gridCol w:w="68"/>
        <w:gridCol w:w="142"/>
        <w:gridCol w:w="886"/>
        <w:gridCol w:w="175"/>
      </w:tblGrid>
      <w:tr>
        <w:trPr/>
        <w:tc>
          <w:tcPr>
            <w:tcW w:w="1641"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r>
      <w:tr>
        <w:trPr/>
        <w:tc>
          <w:tcPr>
            <w:tcW w:w="164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36"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Redeemable</w:t>
              <w:br/>
              <w:t>Preferred Stock</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607"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Common Stock</w:t>
            </w:r>
          </w:p>
        </w:tc>
        <w:tc>
          <w:tcPr>
            <w:tcW w:w="68" w:type="dxa"/>
            <w:tcBorders/>
            <w:vAlign w:val="bottom"/>
          </w:tcPr>
          <w:p>
            <w:pPr>
              <w:pStyle w:val="TableContents"/>
              <w:bidi w:val="0"/>
              <w:spacing w:before="0" w:after="283"/>
              <w:jc w:val="left"/>
              <w:rPr/>
            </w:pPr>
            <w:r>
              <w:rPr/>
              <w:t> </w:t>
            </w:r>
          </w:p>
        </w:tc>
        <w:tc>
          <w:tcPr>
            <w:tcW w:w="68" w:type="dxa"/>
            <w:vMerge w:val="restart"/>
            <w:tcBorders/>
            <w:vAlign w:val="bottom"/>
          </w:tcPr>
          <w:p>
            <w:pPr>
              <w:pStyle w:val="TableContents"/>
              <w:bidi w:val="0"/>
              <w:spacing w:before="0" w:after="283"/>
              <w:jc w:val="left"/>
              <w:rPr/>
            </w:pPr>
            <w:r>
              <w:rPr/>
              <w:t> </w:t>
            </w:r>
          </w:p>
        </w:tc>
        <w:tc>
          <w:tcPr>
            <w:tcW w:w="945"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Paid-In</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Capital</w:t>
            </w:r>
          </w:p>
        </w:tc>
        <w:tc>
          <w:tcPr>
            <w:tcW w:w="155" w:type="dxa"/>
            <w:vMerge w:val="restart"/>
            <w:tcBorders/>
            <w:vAlign w:val="bottom"/>
          </w:tcPr>
          <w:p>
            <w:pPr>
              <w:pStyle w:val="TableContents"/>
              <w:bidi w:val="0"/>
              <w:spacing w:before="0" w:after="283"/>
              <w:jc w:val="left"/>
              <w:rPr/>
            </w:pPr>
            <w:r>
              <w:rPr/>
              <w:t> </w:t>
            </w:r>
          </w:p>
        </w:tc>
        <w:tc>
          <w:tcPr>
            <w:tcW w:w="68" w:type="dxa"/>
            <w:vMerge w:val="restart"/>
            <w:tcBorders/>
            <w:vAlign w:val="bottom"/>
          </w:tcPr>
          <w:p>
            <w:pPr>
              <w:pStyle w:val="TableContents"/>
              <w:bidi w:val="0"/>
              <w:spacing w:before="0" w:after="283"/>
              <w:jc w:val="left"/>
              <w:rPr/>
            </w:pPr>
            <w:r>
              <w:rPr/>
              <w:t> </w:t>
            </w:r>
          </w:p>
        </w:tc>
        <w:tc>
          <w:tcPr>
            <w:tcW w:w="1028"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Deficit</w:t>
            </w:r>
          </w:p>
        </w:tc>
        <w:tc>
          <w:tcPr>
            <w:tcW w:w="156" w:type="dxa"/>
            <w:vMerge w:val="restart"/>
            <w:tcBorders/>
            <w:vAlign w:val="bottom"/>
          </w:tcPr>
          <w:p>
            <w:pPr>
              <w:pStyle w:val="TableContents"/>
              <w:bidi w:val="0"/>
              <w:spacing w:before="0" w:after="283"/>
              <w:jc w:val="left"/>
              <w:rPr/>
            </w:pPr>
            <w:r>
              <w:rPr/>
              <w:t> </w:t>
            </w:r>
          </w:p>
        </w:tc>
        <w:tc>
          <w:tcPr>
            <w:tcW w:w="68" w:type="dxa"/>
            <w:vMerge w:val="restart"/>
            <w:tcBorders/>
            <w:vAlign w:val="bottom"/>
          </w:tcPr>
          <w:p>
            <w:pPr>
              <w:pStyle w:val="TableContents"/>
              <w:bidi w:val="0"/>
              <w:spacing w:before="0" w:after="283"/>
              <w:jc w:val="left"/>
              <w:rPr/>
            </w:pPr>
            <w:r>
              <w:rPr/>
              <w:t> </w:t>
            </w:r>
          </w:p>
        </w:tc>
        <w:tc>
          <w:tcPr>
            <w:tcW w:w="822"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Non-</w:t>
              <w:br/>
              <w:t>controlling</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Interests</w:t>
            </w:r>
          </w:p>
        </w:tc>
        <w:tc>
          <w:tcPr>
            <w:tcW w:w="155" w:type="dxa"/>
            <w:vMerge w:val="restart"/>
            <w:tcBorders/>
            <w:vAlign w:val="bottom"/>
          </w:tcPr>
          <w:p>
            <w:pPr>
              <w:pStyle w:val="TableContents"/>
              <w:bidi w:val="0"/>
              <w:spacing w:before="0" w:after="283"/>
              <w:jc w:val="left"/>
              <w:rPr/>
            </w:pPr>
            <w:r>
              <w:rPr/>
              <w:t> </w:t>
            </w:r>
          </w:p>
        </w:tc>
        <w:tc>
          <w:tcPr>
            <w:tcW w:w="68" w:type="dxa"/>
            <w:vMerge w:val="restart"/>
            <w:tcBorders/>
            <w:vAlign w:val="bottom"/>
          </w:tcPr>
          <w:p>
            <w:pPr>
              <w:pStyle w:val="TableContents"/>
              <w:bidi w:val="0"/>
              <w:spacing w:before="0" w:after="283"/>
              <w:jc w:val="left"/>
              <w:rPr/>
            </w:pPr>
            <w:r>
              <w:rPr/>
              <w:t> </w:t>
            </w:r>
          </w:p>
        </w:tc>
        <w:tc>
          <w:tcPr>
            <w:tcW w:w="1028"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br/>
              <w:t>Stockholders</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Deficit</w:t>
            </w:r>
          </w:p>
        </w:tc>
        <w:tc>
          <w:tcPr>
            <w:tcW w:w="175" w:type="dxa"/>
            <w:vMerge w:val="restart"/>
            <w:tcBorders/>
            <w:vAlign w:val="bottom"/>
          </w:tcPr>
          <w:p>
            <w:pPr>
              <w:pStyle w:val="TableContents"/>
              <w:bidi w:val="0"/>
              <w:spacing w:before="0" w:after="283"/>
              <w:jc w:val="left"/>
              <w:rPr/>
            </w:pPr>
            <w:r>
              <w:rPr/>
              <w:t> </w:t>
            </w:r>
          </w:p>
        </w:tc>
      </w:tr>
      <w:tr>
        <w:trPr/>
        <w:tc>
          <w:tcPr>
            <w:tcW w:w="164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Shares</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Amount</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Shares</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Amount</w:t>
            </w:r>
          </w:p>
        </w:tc>
        <w:tc>
          <w:tcPr>
            <w:tcW w:w="68" w:type="dxa"/>
            <w:tcBorders/>
            <w:vAlign w:val="bottom"/>
          </w:tcPr>
          <w:p>
            <w:pPr>
              <w:pStyle w:val="TableContents"/>
              <w:bidi w:val="0"/>
              <w:spacing w:before="0" w:after="283"/>
              <w:jc w:val="left"/>
              <w:rPr/>
            </w:pPr>
            <w:r>
              <w:rPr/>
              <w:t> </w:t>
            </w:r>
          </w:p>
        </w:tc>
        <w:tc>
          <w:tcPr>
            <w:tcW w:w="68" w:type="dxa"/>
            <w:vMerge w:val="continue"/>
            <w:tcBorders/>
            <w:vAlign w:val="bottom"/>
          </w:tcPr>
          <w:p>
            <w:pPr>
              <w:pStyle w:val="Normal"/>
              <w:bidi w:val="0"/>
              <w:jc w:val="left"/>
              <w:rPr/>
            </w:pPr>
            <w:r>
              <w:rPr/>
            </w:r>
          </w:p>
        </w:tc>
        <w:tc>
          <w:tcPr>
            <w:tcW w:w="94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8" w:type="dxa"/>
            <w:vMerge w:val="continue"/>
            <w:tcBorders/>
            <w:vAlign w:val="bottom"/>
          </w:tcPr>
          <w:p>
            <w:pPr>
              <w:pStyle w:val="Normal"/>
              <w:bidi w:val="0"/>
              <w:jc w:val="left"/>
              <w:rPr/>
            </w:pPr>
            <w:r>
              <w:rPr/>
            </w:r>
          </w:p>
        </w:tc>
        <w:tc>
          <w:tcPr>
            <w:tcW w:w="1028" w:type="dxa"/>
            <w:gridSpan w:val="2"/>
            <w:vMerge w:val="continue"/>
            <w:tcBorders/>
            <w:vAlign w:val="bottom"/>
          </w:tcPr>
          <w:p>
            <w:pPr>
              <w:pStyle w:val="Normal"/>
              <w:bidi w:val="0"/>
              <w:jc w:val="left"/>
              <w:rPr/>
            </w:pPr>
            <w:r>
              <w:rPr/>
            </w:r>
          </w:p>
        </w:tc>
        <w:tc>
          <w:tcPr>
            <w:tcW w:w="156" w:type="dxa"/>
            <w:vMerge w:val="continue"/>
            <w:tcBorders/>
            <w:vAlign w:val="bottom"/>
          </w:tcPr>
          <w:p>
            <w:pPr>
              <w:pStyle w:val="Normal"/>
              <w:bidi w:val="0"/>
              <w:jc w:val="left"/>
              <w:rPr/>
            </w:pPr>
            <w:r>
              <w:rPr/>
            </w:r>
          </w:p>
        </w:tc>
        <w:tc>
          <w:tcPr>
            <w:tcW w:w="68" w:type="dxa"/>
            <w:vMerge w:val="continue"/>
            <w:tcBorders/>
            <w:vAlign w:val="bottom"/>
          </w:tcPr>
          <w:p>
            <w:pPr>
              <w:pStyle w:val="Normal"/>
              <w:bidi w:val="0"/>
              <w:jc w:val="left"/>
              <w:rPr/>
            </w:pPr>
            <w:r>
              <w:rPr/>
            </w:r>
          </w:p>
        </w:tc>
        <w:tc>
          <w:tcPr>
            <w:tcW w:w="822"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8" w:type="dxa"/>
            <w:vMerge w:val="continue"/>
            <w:tcBorders/>
            <w:vAlign w:val="bottom"/>
          </w:tcPr>
          <w:p>
            <w:pPr>
              <w:pStyle w:val="Normal"/>
              <w:bidi w:val="0"/>
              <w:jc w:val="left"/>
              <w:rPr/>
            </w:pPr>
            <w:r>
              <w:rPr/>
            </w:r>
          </w:p>
        </w:tc>
        <w:tc>
          <w:tcPr>
            <w:tcW w:w="1028" w:type="dxa"/>
            <w:gridSpan w:val="2"/>
            <w:vMerge w:val="continue"/>
            <w:tcBorders/>
            <w:vAlign w:val="bottom"/>
          </w:tcPr>
          <w:p>
            <w:pPr>
              <w:pStyle w:val="Normal"/>
              <w:bidi w:val="0"/>
              <w:jc w:val="left"/>
              <w:rPr/>
            </w:pPr>
            <w:r>
              <w:rPr/>
            </w:r>
          </w:p>
        </w:tc>
        <w:tc>
          <w:tcPr>
            <w:tcW w:w="175" w:type="dxa"/>
            <w:vMerge w:val="continue"/>
            <w:tcBorders/>
            <w:vAlign w:val="bottom"/>
          </w:tcPr>
          <w:p>
            <w:pPr>
              <w:pStyle w:val="Normal"/>
              <w:bidi w:val="0"/>
              <w:jc w:val="left"/>
              <w:rPr/>
            </w:pPr>
            <w:r>
              <w:rPr/>
            </w:r>
          </w:p>
        </w:tc>
      </w:tr>
      <w:tr>
        <w:trPr/>
        <w:tc>
          <w:tcPr>
            <w:tcW w:w="16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at April 30, 2023</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102,110</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102,110</w:t>
            </w:r>
          </w:p>
        </w:tc>
        <w:tc>
          <w:tcPr>
            <w:tcW w:w="8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105,808</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305" w:type="dxa"/>
            <w:tcBorders/>
            <w:shd w:fill="CCEEFF" w:val="clear"/>
            <w:vAlign w:val="bottom"/>
          </w:tcPr>
          <w:p>
            <w:pPr>
              <w:pStyle w:val="TableContents"/>
              <w:bidi w:val="0"/>
              <w:spacing w:before="0" w:after="283"/>
              <w:jc w:val="right"/>
              <w:rPr/>
            </w:pPr>
            <w:r>
              <w:rPr/>
              <w:t>1</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194,736</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(312,315</w:t>
            </w:r>
          </w:p>
        </w:tc>
        <w:tc>
          <w:tcPr>
            <w:tcW w:w="15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(117,578</w:t>
            </w:r>
          </w:p>
        </w:tc>
        <w:tc>
          <w:tcPr>
            <w:tcW w:w="175" w:type="dxa"/>
            <w:tcBorders/>
            <w:shd w:fill="CCEEFF" w:val="clear"/>
            <w:vAlign w:val="bottom"/>
          </w:tcPr>
          <w:p>
            <w:pPr>
              <w:pStyle w:val="TableContents"/>
              <w:bidi w:val="0"/>
              <w:spacing w:before="0" w:after="283"/>
              <w:jc w:val="left"/>
              <w:rPr/>
            </w:pPr>
            <w:r>
              <w:rPr/>
              <w:t>) </w:t>
            </w:r>
          </w:p>
        </w:tc>
      </w:tr>
      <w:tr>
        <w:trPr/>
        <w:tc>
          <w:tcPr>
            <w:tcW w:w="164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727</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727</w:t>
            </w:r>
          </w:p>
        </w:tc>
        <w:tc>
          <w:tcPr>
            <w:tcW w:w="175" w:type="dxa"/>
            <w:tcBorders/>
            <w:vAlign w:val="bottom"/>
          </w:tcPr>
          <w:p>
            <w:pPr>
              <w:pStyle w:val="TableContents"/>
              <w:bidi w:val="0"/>
              <w:spacing w:before="0" w:after="283"/>
              <w:jc w:val="left"/>
              <w:rPr/>
            </w:pPr>
            <w:r>
              <w:rPr/>
              <w:t> </w:t>
            </w:r>
          </w:p>
        </w:tc>
      </w:tr>
      <w:tr>
        <w:trPr/>
        <w:tc>
          <w:tcPr>
            <w:tcW w:w="1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redeemable preferred stock</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50,000</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50,000</w:t>
            </w:r>
          </w:p>
        </w:tc>
        <w:tc>
          <w:tcPr>
            <w:tcW w:w="8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r>
      <w:tr>
        <w:trPr/>
        <w:tc>
          <w:tcPr>
            <w:tcW w:w="1641" w:type="dxa"/>
            <w:tcBorders/>
          </w:tcPr>
          <w:p>
            <w:pPr>
              <w:pStyle w:val="TableContents"/>
              <w:bidi w:val="0"/>
              <w:spacing w:before="0" w:after="0"/>
              <w:jc w:val="left"/>
              <w:rPr>
                <w:rFonts w:ascii="Times New Roman" w:hAnsi="Times New Roman"/>
                <w:sz w:val="20"/>
              </w:rPr>
            </w:pPr>
            <w:r>
              <w:rPr>
                <w:rFonts w:ascii="Times New Roman" w:hAnsi="Times New Roman"/>
                <w:sz w:val="20"/>
              </w:rPr>
              <w:t>Deemed dividend for payments to third party on behalf of stockholder</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(426</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(426</w:t>
            </w:r>
          </w:p>
        </w:tc>
        <w:tc>
          <w:tcPr>
            <w:tcW w:w="175" w:type="dxa"/>
            <w:tcBorders/>
            <w:vAlign w:val="bottom"/>
          </w:tcPr>
          <w:p>
            <w:pPr>
              <w:pStyle w:val="TableContents"/>
              <w:bidi w:val="0"/>
              <w:spacing w:before="0" w:after="283"/>
              <w:jc w:val="left"/>
              <w:rPr/>
            </w:pPr>
            <w:r>
              <w:rPr/>
              <w:t>) </w:t>
            </w:r>
          </w:p>
        </w:tc>
      </w:tr>
      <w:tr>
        <w:trPr/>
        <w:tc>
          <w:tcPr>
            <w:tcW w:w="1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contribution from Parent related to warrant obligation</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8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1,632</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1,632</w:t>
            </w:r>
          </w:p>
        </w:tc>
        <w:tc>
          <w:tcPr>
            <w:tcW w:w="175" w:type="dxa"/>
            <w:tcBorders/>
            <w:shd w:fill="CCEEFF" w:val="clear"/>
            <w:vAlign w:val="bottom"/>
          </w:tcPr>
          <w:p>
            <w:pPr>
              <w:pStyle w:val="TableContents"/>
              <w:bidi w:val="0"/>
              <w:spacing w:before="0" w:after="283"/>
              <w:jc w:val="left"/>
              <w:rPr/>
            </w:pPr>
            <w:r>
              <w:rPr/>
              <w:t> </w:t>
            </w:r>
          </w:p>
        </w:tc>
      </w:tr>
      <w:tr>
        <w:trPr/>
        <w:tc>
          <w:tcPr>
            <w:tcW w:w="1641"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(50,217</w:t>
            </w:r>
          </w:p>
        </w:tc>
        <w:tc>
          <w:tcPr>
            <w:tcW w:w="15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(50,217</w:t>
            </w:r>
          </w:p>
        </w:tc>
        <w:tc>
          <w:tcPr>
            <w:tcW w:w="175" w:type="dxa"/>
            <w:tcBorders/>
            <w:vAlign w:val="bottom"/>
          </w:tcPr>
          <w:p>
            <w:pPr>
              <w:pStyle w:val="TableContents"/>
              <w:bidi w:val="0"/>
              <w:spacing w:before="0" w:after="283"/>
              <w:jc w:val="left"/>
              <w:rPr/>
            </w:pPr>
            <w:r>
              <w:rPr/>
              <w:t>) </w:t>
            </w:r>
          </w:p>
        </w:tc>
      </w:tr>
      <w:tr>
        <w:trPr/>
        <w:tc>
          <w:tcPr>
            <w:tcW w:w="1641"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16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at October 31, 2023</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152,110</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152,110</w:t>
            </w:r>
          </w:p>
        </w:tc>
        <w:tc>
          <w:tcPr>
            <w:tcW w:w="8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105,808</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305" w:type="dxa"/>
            <w:tcBorders/>
            <w:shd w:fill="CCEEFF" w:val="clear"/>
            <w:vAlign w:val="bottom"/>
          </w:tcPr>
          <w:p>
            <w:pPr>
              <w:pStyle w:val="TableContents"/>
              <w:bidi w:val="0"/>
              <w:spacing w:before="0" w:after="283"/>
              <w:jc w:val="right"/>
              <w:rPr/>
            </w:pPr>
            <w:r>
              <w:rPr/>
              <w:t>1</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196,669</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(362,532</w:t>
            </w:r>
          </w:p>
        </w:tc>
        <w:tc>
          <w:tcPr>
            <w:tcW w:w="15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(165,862</w:t>
            </w:r>
          </w:p>
        </w:tc>
        <w:tc>
          <w:tcPr>
            <w:tcW w:w="175" w:type="dxa"/>
            <w:tcBorders/>
            <w:shd w:fill="CCEEFF" w:val="clear"/>
            <w:vAlign w:val="bottom"/>
          </w:tcPr>
          <w:p>
            <w:pPr>
              <w:pStyle w:val="TableContents"/>
              <w:bidi w:val="0"/>
              <w:spacing w:before="0" w:after="283"/>
              <w:jc w:val="left"/>
              <w:rPr/>
            </w:pPr>
            <w:r>
              <w:rPr/>
              <w:t>) </w:t>
            </w:r>
          </w:p>
        </w:tc>
      </w:tr>
      <w:tr>
        <w:trPr/>
        <w:tc>
          <w:tcPr>
            <w:tcW w:w="1641"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1641"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Balances at April 30, 2024</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177,110</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177,110</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105,808</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305" w:type="dxa"/>
            <w:tcBorders/>
            <w:vAlign w:val="bottom"/>
          </w:tcPr>
          <w:p>
            <w:pPr>
              <w:pStyle w:val="TableContents"/>
              <w:bidi w:val="0"/>
              <w:spacing w:before="0" w:after="283"/>
              <w:jc w:val="right"/>
              <w:rPr/>
            </w:pPr>
            <w:r>
              <w:rPr/>
              <w:t>1</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197,057</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86" w:type="dxa"/>
            <w:tcBorders/>
            <w:vAlign w:val="bottom"/>
          </w:tcPr>
          <w:p>
            <w:pPr>
              <w:pStyle w:val="TableContents"/>
              <w:bidi w:val="0"/>
              <w:spacing w:before="0" w:after="283"/>
              <w:jc w:val="right"/>
              <w:rPr/>
            </w:pPr>
            <w:r>
              <w:rPr/>
              <w:t>(406,435</w:t>
            </w:r>
          </w:p>
        </w:tc>
        <w:tc>
          <w:tcPr>
            <w:tcW w:w="15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86" w:type="dxa"/>
            <w:tcBorders/>
            <w:vAlign w:val="bottom"/>
          </w:tcPr>
          <w:p>
            <w:pPr>
              <w:pStyle w:val="TableContents"/>
              <w:bidi w:val="0"/>
              <w:spacing w:before="0" w:after="283"/>
              <w:jc w:val="right"/>
              <w:rPr/>
            </w:pPr>
            <w:r>
              <w:rPr/>
              <w:t>(209,377</w:t>
            </w:r>
          </w:p>
        </w:tc>
        <w:tc>
          <w:tcPr>
            <w:tcW w:w="175" w:type="dxa"/>
            <w:tcBorders/>
            <w:vAlign w:val="bottom"/>
          </w:tcPr>
          <w:p>
            <w:pPr>
              <w:pStyle w:val="TableContents"/>
              <w:bidi w:val="0"/>
              <w:spacing w:before="0" w:after="283"/>
              <w:jc w:val="left"/>
              <w:rPr/>
            </w:pPr>
            <w:r>
              <w:rPr/>
              <w:t>) </w:t>
            </w:r>
          </w:p>
        </w:tc>
      </w:tr>
      <w:tr>
        <w:trPr/>
        <w:tc>
          <w:tcPr>
            <w:tcW w:w="1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8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1,499</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1,499</w:t>
            </w:r>
          </w:p>
        </w:tc>
        <w:tc>
          <w:tcPr>
            <w:tcW w:w="175" w:type="dxa"/>
            <w:tcBorders/>
            <w:shd w:fill="CCEEFF" w:val="clear"/>
            <w:vAlign w:val="bottom"/>
          </w:tcPr>
          <w:p>
            <w:pPr>
              <w:pStyle w:val="TableContents"/>
              <w:bidi w:val="0"/>
              <w:spacing w:before="0" w:after="283"/>
              <w:jc w:val="left"/>
              <w:rPr/>
            </w:pPr>
            <w:r>
              <w:rPr/>
              <w:t> </w:t>
            </w:r>
          </w:p>
        </w:tc>
      </w:tr>
      <w:tr>
        <w:trPr/>
        <w:tc>
          <w:tcPr>
            <w:tcW w:w="1641"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redeemable preferred stock</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103,400</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103,400</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r>
      <w:tr>
        <w:trPr/>
        <w:tc>
          <w:tcPr>
            <w:tcW w:w="1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stock to non-controlling interest</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8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17,100</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17,100</w:t>
            </w:r>
          </w:p>
        </w:tc>
        <w:tc>
          <w:tcPr>
            <w:tcW w:w="175" w:type="dxa"/>
            <w:tcBorders/>
            <w:shd w:fill="CCEEFF" w:val="clear"/>
            <w:vAlign w:val="bottom"/>
          </w:tcPr>
          <w:p>
            <w:pPr>
              <w:pStyle w:val="TableContents"/>
              <w:bidi w:val="0"/>
              <w:spacing w:before="0" w:after="283"/>
              <w:jc w:val="left"/>
              <w:rPr/>
            </w:pPr>
            <w:r>
              <w:rPr/>
              <w:t> </w:t>
            </w:r>
          </w:p>
        </w:tc>
      </w:tr>
      <w:tr>
        <w:trPr/>
        <w:tc>
          <w:tcPr>
            <w:tcW w:w="1641" w:type="dxa"/>
            <w:tcBorders/>
          </w:tcPr>
          <w:p>
            <w:pPr>
              <w:pStyle w:val="TableContents"/>
              <w:bidi w:val="0"/>
              <w:spacing w:before="0" w:after="0"/>
              <w:jc w:val="left"/>
              <w:rPr>
                <w:rFonts w:ascii="Times New Roman" w:hAnsi="Times New Roman"/>
                <w:sz w:val="20"/>
              </w:rPr>
            </w:pPr>
            <w:r>
              <w:rPr>
                <w:rFonts w:ascii="Times New Roman" w:hAnsi="Times New Roman"/>
                <w:sz w:val="20"/>
              </w:rPr>
              <w:t>Deemed dividend for payments to third party on behalf of stockholder</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(4,823</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(4,823</w:t>
            </w:r>
          </w:p>
        </w:tc>
        <w:tc>
          <w:tcPr>
            <w:tcW w:w="175" w:type="dxa"/>
            <w:tcBorders/>
            <w:vAlign w:val="bottom"/>
          </w:tcPr>
          <w:p>
            <w:pPr>
              <w:pStyle w:val="TableContents"/>
              <w:bidi w:val="0"/>
              <w:spacing w:before="0" w:after="283"/>
              <w:jc w:val="left"/>
              <w:rPr/>
            </w:pPr>
            <w:r>
              <w:rPr/>
              <w:t>) </w:t>
            </w:r>
          </w:p>
        </w:tc>
      </w:tr>
      <w:tr>
        <w:trPr/>
        <w:tc>
          <w:tcPr>
            <w:tcW w:w="1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8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(40,252</w:t>
            </w:r>
          </w:p>
        </w:tc>
        <w:tc>
          <w:tcPr>
            <w:tcW w:w="15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(692</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(40,944</w:t>
            </w:r>
          </w:p>
        </w:tc>
        <w:tc>
          <w:tcPr>
            <w:tcW w:w="175" w:type="dxa"/>
            <w:tcBorders/>
            <w:shd w:fill="CCEEFF" w:val="clear"/>
            <w:vAlign w:val="bottom"/>
          </w:tcPr>
          <w:p>
            <w:pPr>
              <w:pStyle w:val="TableContents"/>
              <w:bidi w:val="0"/>
              <w:spacing w:before="0" w:after="283"/>
              <w:jc w:val="left"/>
              <w:rPr/>
            </w:pPr>
            <w:r>
              <w:rPr/>
              <w:t>) </w:t>
            </w:r>
          </w:p>
        </w:tc>
      </w:tr>
      <w:tr>
        <w:trPr/>
        <w:tc>
          <w:tcPr>
            <w:tcW w:w="1641"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1641"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Balances at October 31, 2024</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280,510</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280,510</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105,808</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305" w:type="dxa"/>
            <w:tcBorders/>
            <w:vAlign w:val="bottom"/>
          </w:tcPr>
          <w:p>
            <w:pPr>
              <w:pStyle w:val="TableContents"/>
              <w:bidi w:val="0"/>
              <w:spacing w:before="0" w:after="283"/>
              <w:jc w:val="right"/>
              <w:rPr/>
            </w:pPr>
            <w:r>
              <w:rPr/>
              <w:t>1</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193,733</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86" w:type="dxa"/>
            <w:tcBorders/>
            <w:vAlign w:val="bottom"/>
          </w:tcPr>
          <w:p>
            <w:pPr>
              <w:pStyle w:val="TableContents"/>
              <w:bidi w:val="0"/>
              <w:spacing w:before="0" w:after="283"/>
              <w:jc w:val="right"/>
              <w:rPr/>
            </w:pPr>
            <w:r>
              <w:rPr/>
              <w:t>(446,687</w:t>
            </w:r>
          </w:p>
        </w:tc>
        <w:tc>
          <w:tcPr>
            <w:tcW w:w="15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16,408</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86" w:type="dxa"/>
            <w:tcBorders/>
            <w:vAlign w:val="bottom"/>
          </w:tcPr>
          <w:p>
            <w:pPr>
              <w:pStyle w:val="TableContents"/>
              <w:bidi w:val="0"/>
              <w:spacing w:before="0" w:after="283"/>
              <w:jc w:val="right"/>
              <w:rPr/>
            </w:pPr>
            <w:r>
              <w:rPr/>
              <w:t>(236,545</w:t>
            </w:r>
          </w:p>
        </w:tc>
        <w:tc>
          <w:tcPr>
            <w:tcW w:w="175" w:type="dxa"/>
            <w:tcBorders/>
            <w:vAlign w:val="bottom"/>
          </w:tcPr>
          <w:p>
            <w:pPr>
              <w:pStyle w:val="TableContents"/>
              <w:bidi w:val="0"/>
              <w:spacing w:before="0" w:after="283"/>
              <w:jc w:val="left"/>
              <w:rPr/>
            </w:pPr>
            <w:r>
              <w:rPr/>
              <w:t>) </w:t>
            </w:r>
          </w:p>
        </w:tc>
      </w:tr>
      <w:tr>
        <w:trPr/>
        <w:tc>
          <w:tcPr>
            <w:tcW w:w="1641"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81" w:type="dxa"/>
            <w:tcBorders>
              <w:right w:val="single" w:sz="2" w:space="0" w:color="000000"/>
            </w:tcBorders>
            <w:tcMar>
              <w:right w:w="28" w:type="dxa"/>
            </w:tcMar>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37" w:name="fin744414_14"/>
      <w:bookmarkEnd w:id="37"/>
      <w:r>
        <w:rPr>
          <w:rFonts w:ascii="Times New Roman" w:hAnsi="Times New Roman"/>
          <w:b/>
          <w:sz w:val="20"/>
        </w:rPr>
        <w:t xml:space="preserve">CONDENSED CONSOLIDATED STATEMENTS OF CASH FLOWS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96"/>
        <w:gridCol w:w="235"/>
        <w:gridCol w:w="140"/>
        <w:gridCol w:w="803"/>
        <w:gridCol w:w="155"/>
        <w:gridCol w:w="200"/>
        <w:gridCol w:w="140"/>
        <w:gridCol w:w="777"/>
        <w:gridCol w:w="159"/>
      </w:tblGrid>
      <w:tr>
        <w:trPr/>
        <w:tc>
          <w:tcPr>
            <w:tcW w:w="7596"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9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215"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Six Months Ended</w:t>
              <w:br/>
              <w:t>October 31,</w:t>
            </w:r>
          </w:p>
        </w:tc>
        <w:tc>
          <w:tcPr>
            <w:tcW w:w="159" w:type="dxa"/>
            <w:tcBorders/>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(40,944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(50,217</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to net cash used in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4,244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4,695</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on disposal of property and equipment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972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769</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Interest paid-in-kind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467</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640</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debt discounts and issuance costs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861</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213</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1,499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727</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lease expense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242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545</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Non-cash loss on debt extinguishment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930</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Disposable medical equipment supplies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(1,032</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(2,292</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297</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(3,396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(542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4,190</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Accrued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1,786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(1,272</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(686</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Other long-term assets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(30</w:t>
            </w:r>
          </w:p>
        </w:tc>
        <w:tc>
          <w:tcPr>
            <w:tcW w:w="159" w:type="dxa"/>
            <w:tcBorders/>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(35,525</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(41,491</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(11,484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(3,217</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Deposits for medical rental equipment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(128</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Refund of deposits for medical rental equipment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240</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(11,484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(3,105</w:t>
            </w:r>
          </w:p>
        </w:tc>
        <w:tc>
          <w:tcPr>
            <w:tcW w:w="159" w:type="dxa"/>
            <w:tcBorders/>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issuance of redeemable preferred stock</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103,400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50,000</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Deemed dividend for payments to third party on behalf of stockholder</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(1,598</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(426</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issuance of stock to non-controlling interest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17,100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issuance of long-term debt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45,000</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Payment of debt issuance costs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(1,859</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 of equity issuance costs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(3,224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Repayment of long-term debt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(39,123</w:t>
            </w:r>
          </w:p>
        </w:tc>
        <w:tc>
          <w:tcPr>
            <w:tcW w:w="159" w:type="dxa"/>
            <w:tcBorders/>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provided by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115,678</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53,592</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Net increase in cash, cash equivalents and restricted cash</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68,669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8,996</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cash equivalents and restricted cash</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Beginning of period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8,583</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15,322</w:t>
            </w:r>
          </w:p>
        </w:tc>
        <w:tc>
          <w:tcPr>
            <w:tcW w:w="159" w:type="dxa"/>
            <w:tcBorders/>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End of period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77,252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24,318</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Reconciliation of cash, cash equivalents and restricted cash reported in the condensed consolidated balance sheets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76,918</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23,806</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334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512</w:t>
            </w:r>
          </w:p>
        </w:tc>
        <w:tc>
          <w:tcPr>
            <w:tcW w:w="159" w:type="dxa"/>
            <w:tcBorders/>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77,252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24,318</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96"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Non-cash investing and financing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 in accrued liabilities and accounts payable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7,914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11,566</w:t>
            </w:r>
          </w:p>
        </w:tc>
        <w:tc>
          <w:tcPr>
            <w:tcW w:w="159"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Capital contribution from Parent to settle warrant obligation</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1,632</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Supplemental disclosure of cash flow information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96" w:type="dxa"/>
            <w:tcBorders/>
          </w:tcPr>
          <w:p>
            <w:pPr>
              <w:pStyle w:val="TableContents"/>
              <w:bidi w:val="0"/>
              <w:spacing w:before="0" w:after="0"/>
              <w:jc w:val="left"/>
              <w:rPr>
                <w:rFonts w:ascii="Times New Roman" w:hAnsi="Times New Roman"/>
                <w:sz w:val="18"/>
              </w:rPr>
            </w:pPr>
            <w:r>
              <w:rPr>
                <w:rFonts w:ascii="Times New Roman" w:hAnsi="Times New Roman"/>
                <w:sz w:val="18"/>
              </w:rPr>
              <w:t>Income taxes paid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100</w:t>
            </w:r>
          </w:p>
        </w:tc>
        <w:tc>
          <w:tcPr>
            <w:tcW w:w="159"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paid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2,451</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1,207</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38" w:name="fin744414_15"/>
      <w:bookmarkEnd w:id="38"/>
      <w:r>
        <w:rPr>
          <w:rFonts w:ascii="Times New Roman" w:hAnsi="Times New Roman"/>
          <w:b/>
          <w:sz w:val="20"/>
        </w:rPr>
        <w:t xml:space="preserve">NOTES TO UNAUDITED CONDENSED CONSOLIDATED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share, per share data and percentages)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Operations and Liquidity </w:t>
      </w:r>
    </w:p>
    <w:p>
      <w:pPr>
        <w:pStyle w:val="TextBody"/>
        <w:bidi w:val="0"/>
        <w:spacing w:before="240" w:after="0"/>
        <w:jc w:val="left"/>
        <w:rPr>
          <w:rFonts w:ascii="Times New Roman" w:hAnsi="Times New Roman"/>
          <w:sz w:val="20"/>
        </w:rPr>
      </w:pPr>
      <w:r>
        <w:rPr>
          <w:rFonts w:ascii="Times New Roman" w:hAnsi="Times New Roman"/>
          <w:sz w:val="20"/>
        </w:rPr>
        <w:t xml:space="preserve">West Affum Intermediate Holdings Corp., a Cayman Islands exempted company (the Company), was incorporated on August 6, 2020, in order to carry on the business of West Affum Holdings Corp. (WAH Corp.) and its consolidated subsidiaries. West Affum Intermediate Holdings Corp, is wholly owned by West Affum Holdings L.P., a Cayman Islands limited partnership (the Parent).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its consolidated subsidiaries own certain intellectual property related to the development of personal Wearable Cardioverter Defibrillators (WCD) approved by the U.S. Food and Drug Administration (FDA). </w:t>
      </w:r>
    </w:p>
    <w:p>
      <w:pPr>
        <w:pStyle w:val="TextBody"/>
        <w:bidi w:val="0"/>
        <w:spacing w:before="240" w:after="0"/>
        <w:jc w:val="left"/>
        <w:rPr>
          <w:rFonts w:ascii="Times New Roman" w:hAnsi="Times New Roman"/>
          <w:sz w:val="20"/>
        </w:rPr>
      </w:pPr>
      <w:r>
        <w:rPr>
          <w:rFonts w:ascii="Times New Roman" w:hAnsi="Times New Roman"/>
          <w:sz w:val="20"/>
        </w:rPr>
        <w:t xml:space="preserve">The Company generates revenue through leasing the ASSURE© System, which consists of a Wearable Cardioverter Defibrillator, to patients.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incurred negative operating cash flows and significant losses from operations since its inception. For the six months ended October 31, 2024 and 2023, the Company incurred net losses of $40,944 and $50,217, respectively. Cash used in operating activities was $35,525 and $41,491 for the six months ended October 31, 2024 and 2023, respectively. As of October 31, 2024, the Company had an accumulated deficit of $446,687. Management has prepared the unaudited interim condensed consolidated financial statements on a going concern basis which contemplates continuity of normal business activities and the realization of assets and liabilities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historically financed its operations primarily through capital contributions, issuance of preferred stock and redeemable stock and term loans. The Company expects to continue to incur substantial losses for the foreseeable future, and its ability to achieve and sustain profitability will depend on the successful commercialization of its device and on the achievement of sufficient revenue to support its cost structure. As of October 31, 2024 and April 30, 2024 the Company had cash, cash equivalents and restricted cash of $77,252 and $8,583, respectively. In May and July 2024, through additional capital contributions and the closing of a private placement, the Company received $116,500 in total net cash proceeds. However, management believes that its cash and cash equivalents balance may not be sufficient to fund its planned current operations for the next twelve months from the date these unaudited interim condensed consolidated financial statements are issued. Management plans on raising additional capital to continue operations but cannot predict with certainty the ability to obtain such funding. If the Company is unable to obtain additional funding, it would be required to suspend operations or reduce its spending profile to a level which would not allow for planned product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as discussed in Note 7, the Companys debt agreement requires certain financial and non-financial covenants, including minimum revenue and cash thresholds, which if not achieved may be considered an event of default under the terms of the debt agreement. Based upon the factors discussed above, there is substantial doubt as to whether the Company will continue as a going concern for the next twelve months from the date these unaudited interim condensed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Significant Accounting Policies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interim condensed consolidated financial statements have been prepared in accordance with the rules and regulations of the Securities and Exchange Commission (SEC) and generally accepted accounting principles in the United States of America (US GAAP) and include the accounts of the Company and its wholly owned subsidiaries. All intercompany accounts and transactions have been eliminated in consolidation. The Companys reporting currency is the U.S. dollar. </w:t>
      </w:r>
    </w:p>
    <w:p>
      <w:pPr>
        <w:pStyle w:val="TextBody"/>
        <w:bidi w:val="0"/>
        <w:spacing w:before="240" w:after="0"/>
        <w:jc w:val="left"/>
        <w:rPr>
          <w:rFonts w:ascii="Times New Roman" w:hAnsi="Times New Roman"/>
          <w:sz w:val="20"/>
        </w:rPr>
      </w:pPr>
      <w:r>
        <w:rPr>
          <w:rFonts w:ascii="Times New Roman" w:hAnsi="Times New Roman"/>
          <w:sz w:val="20"/>
        </w:rPr>
        <w:t xml:space="preserve">The unaudited interim condensed consolidated balance sheet as of April 30, 2024 included herein was derived from the audited financial statements as of that date. Certain information and disclosures normally included in the financial statements prepared in accordance with US GAAP have been condensed or omitted pursuant to such regulations. Accordingly, these unaudited interim condensed consolidated financial statements and accompanying footnotes should be read in conjunction with the Companys financial statements as of and for the years ended April 30, 2024 and 2023. The results for the interim periods are not necessarily indicative of results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management, all adjustments, of a normal recurring nature, considered necessary for a fair statement have been included in the unaudited interim condensed consolidated financial statements. The Company believes that the disclosures provided herein are adequate to prevent the information presented from being misleading.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the unaudited interim condensed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unaudited interim condensed consolidated financial statements, and the reported amounts of expenses during the reporting period. Estimates are required as part of determining the collectability of lease payments for revenue recognition, estimated lives of property and equipment, losses for unreturned property and equipment, stock-based compensation expense, fair value of warrant obligations and valuation allowance for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bases its estimates on historical experience and other market-specific or relevant assumptions that it believes to be reasonable under the circumstances. Actual results could differ from those estimates.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240" w:after="0"/>
        <w:jc w:val="left"/>
        <w:rPr>
          <w:rFonts w:ascii="Times New Roman" w:hAnsi="Times New Roman"/>
          <w:sz w:val="20"/>
        </w:rPr>
      </w:pPr>
      <w:r>
        <w:rPr>
          <w:rFonts w:ascii="Times New Roman" w:hAnsi="Times New Roman"/>
          <w:sz w:val="20"/>
        </w:rPr>
        <w:t xml:space="preserve">Accounts receivable and net revenues are based on contractually agreed-upon rates for services provided, reduced by estimated adjustments, including contractual adjustments. Inherent in these estimates is the risk that they will have to be revised or updated as additional information becomes available. The complexity of third-party billing arrangements and laws and regulations governing Medicare may result in adjustments to amounts originally recorded.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performs a periodic analysis to review the valuation of accounts receivable and collectability of outstanding balances. These estimates are determined utilizing historical realization data under a portfolio approach which is then assessed by management to evaluate whether adjustments should be made based on accounts receivable aging trends, other operating trends, and relevant business conditions such as governmental and managed care payor claims processing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 reserve for estimated probable losses as part of net revenue adjustments in order to report revenue at an expected collectable amount based on the total portfolio of receivables for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collectability has been deemed probable. The accounts receivable are presented on the unaudited interim condensed consolidated balance sheets net of the adjustments. </w:t>
      </w:r>
    </w:p>
    <w:p>
      <w:pPr>
        <w:pStyle w:val="TextBody"/>
        <w:bidi w:val="0"/>
        <w:spacing w:before="240" w:after="0"/>
        <w:jc w:val="left"/>
        <w:rPr>
          <w:rFonts w:ascii="Times New Roman" w:hAnsi="Times New Roman"/>
          <w:sz w:val="20"/>
        </w:rPr>
      </w:pPr>
      <w:r>
        <w:rPr>
          <w:rFonts w:ascii="Times New Roman" w:hAnsi="Times New Roman"/>
          <w:sz w:val="20"/>
        </w:rPr>
        <w:t xml:space="preserve">Receivables are considered past due when not collected by established due dates. Specific patient balances are written off after collection efforts have been followed and the account has been determined to be uncollectible. Changes to reserve estimate impacts are recorded as an adjustment to net revenue in the period during which changes in circumstances support a change to the estimate. The estimates of the allowance for uncollectible accounts were $1,573 and $500 as of October 31, 2024 and April 30, 2024, respectively.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240" w:after="0"/>
        <w:jc w:val="left"/>
        <w:rPr>
          <w:rFonts w:ascii="Times New Roman" w:hAnsi="Times New Roman"/>
          <w:sz w:val="20"/>
        </w:rPr>
      </w:pPr>
      <w:r>
        <w:rPr>
          <w:rFonts w:ascii="Times New Roman" w:hAnsi="Times New Roman"/>
          <w:sz w:val="20"/>
        </w:rPr>
        <w:t>Property and equipment consist of medical rental equipment, test equipment, computer software and equipment, and leasehold improvements. Medical rental equipment used in the delivery of our ASSURE® WCD system consists of therapy cables, batteries, battery chargers, assistants and WCD monitors, all of which have different useful lives. Upon completion of use by a patient, medical rental equipment is returned to our third-party manufacturing and supply partner and inspected, tested and recertified for use by another patient. When not in use by patients, medical rental equipment resides with our third-party manufacturing and supply partner, at third-party warehouses or with the Companys territory managers. Physical counts of components are conducted at least annually at our third-party manufacturing and supply partner locations and at least quarterly at other locations.</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stated at cost less accumulated depreciation. Depreciation of medical rental equipment commences at the date when it becomes available for service, which represents the date that the asset is ready for intended use by the patients and continues through the estimated useful life of the asset. Expenditures for major renewals and betterments that extend the useful lives of property and equipment are capitalized. Expenditures for maintenance and repairs, including planned major maintenance activities,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depreciated using the straight-line method based on the following estimated useful lives: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6"/>
        <w:gridCol w:w="197"/>
        <w:gridCol w:w="3181"/>
        <w:gridCol w:w="197"/>
        <w:gridCol w:w="3184"/>
      </w:tblGrid>
      <w:tr>
        <w:trPr/>
        <w:tc>
          <w:tcPr>
            <w:tcW w:w="3446"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344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181"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October 31, 2024</w:t>
            </w:r>
          </w:p>
        </w:tc>
        <w:tc>
          <w:tcPr>
            <w:tcW w:w="197" w:type="dxa"/>
            <w:tcBorders/>
            <w:vAlign w:val="bottom"/>
          </w:tcPr>
          <w:p>
            <w:pPr>
              <w:pStyle w:val="TableContents"/>
              <w:bidi w:val="0"/>
              <w:spacing w:before="0" w:after="283"/>
              <w:jc w:val="left"/>
              <w:rPr/>
            </w:pPr>
            <w:r>
              <w:rPr/>
              <w:t>  </w:t>
            </w:r>
          </w:p>
        </w:tc>
        <w:tc>
          <w:tcPr>
            <w:tcW w:w="318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 2024</w:t>
            </w:r>
          </w:p>
        </w:tc>
      </w:tr>
      <w:tr>
        <w:trPr/>
        <w:tc>
          <w:tcPr>
            <w:tcW w:w="3446"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Asset Classification</w:t>
            </w:r>
          </w:p>
        </w:tc>
        <w:tc>
          <w:tcPr>
            <w:tcW w:w="197" w:type="dxa"/>
            <w:tcBorders/>
            <w:vAlign w:val="bottom"/>
          </w:tcPr>
          <w:p>
            <w:pPr>
              <w:pStyle w:val="TableContents"/>
              <w:bidi w:val="0"/>
              <w:spacing w:before="0" w:after="283"/>
              <w:jc w:val="left"/>
              <w:rPr/>
            </w:pPr>
            <w:r>
              <w:rPr/>
              <w:t>  </w:t>
            </w:r>
          </w:p>
        </w:tc>
        <w:tc>
          <w:tcPr>
            <w:tcW w:w="3181"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Estimated Useful Lives</w:t>
            </w:r>
          </w:p>
        </w:tc>
        <w:tc>
          <w:tcPr>
            <w:tcW w:w="197" w:type="dxa"/>
            <w:tcBorders/>
            <w:vAlign w:val="bottom"/>
          </w:tcPr>
          <w:p>
            <w:pPr>
              <w:pStyle w:val="TableContents"/>
              <w:bidi w:val="0"/>
              <w:spacing w:before="0" w:after="283"/>
              <w:jc w:val="left"/>
              <w:rPr/>
            </w:pPr>
            <w:r>
              <w:rPr/>
              <w:t>  </w:t>
            </w:r>
          </w:p>
        </w:tc>
        <w:tc>
          <w:tcPr>
            <w:tcW w:w="3184"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Estimated Useful Lives</w:t>
            </w:r>
          </w:p>
        </w:tc>
      </w:tr>
      <w:tr>
        <w:trPr/>
        <w:tc>
          <w:tcPr>
            <w:tcW w:w="3446" w:type="dxa"/>
            <w:tcBorders/>
          </w:tcPr>
          <w:p>
            <w:pPr>
              <w:pStyle w:val="TableContents"/>
              <w:bidi w:val="0"/>
              <w:spacing w:before="0" w:after="283"/>
              <w:jc w:val="left"/>
              <w:rPr/>
            </w:pPr>
            <w:r>
              <w:rPr/>
              <w:t>Computer software and equipment</w:t>
            </w:r>
          </w:p>
        </w:tc>
        <w:tc>
          <w:tcPr>
            <w:tcW w:w="197" w:type="dxa"/>
            <w:tcBorders/>
            <w:vAlign w:val="bottom"/>
          </w:tcPr>
          <w:p>
            <w:pPr>
              <w:pStyle w:val="TableContents"/>
              <w:bidi w:val="0"/>
              <w:spacing w:before="0" w:after="283"/>
              <w:jc w:val="left"/>
              <w:rPr/>
            </w:pPr>
            <w:r>
              <w:rPr/>
              <w:t>  </w:t>
            </w:r>
          </w:p>
        </w:tc>
        <w:tc>
          <w:tcPr>
            <w:tcW w:w="3181" w:type="dxa"/>
            <w:tcBorders/>
          </w:tcPr>
          <w:p>
            <w:pPr>
              <w:pStyle w:val="TableContents"/>
              <w:bidi w:val="0"/>
              <w:spacing w:before="0" w:after="283"/>
              <w:jc w:val="center"/>
              <w:rPr/>
            </w:pPr>
            <w:r>
              <w:rPr/>
              <w:t>3 years</w:t>
            </w:r>
          </w:p>
        </w:tc>
        <w:tc>
          <w:tcPr>
            <w:tcW w:w="197" w:type="dxa"/>
            <w:tcBorders/>
            <w:vAlign w:val="bottom"/>
          </w:tcPr>
          <w:p>
            <w:pPr>
              <w:pStyle w:val="TableContents"/>
              <w:bidi w:val="0"/>
              <w:spacing w:before="0" w:after="283"/>
              <w:jc w:val="left"/>
              <w:rPr/>
            </w:pPr>
            <w:r>
              <w:rPr/>
              <w:t>  </w:t>
            </w:r>
          </w:p>
        </w:tc>
        <w:tc>
          <w:tcPr>
            <w:tcW w:w="3184" w:type="dxa"/>
            <w:tcBorders/>
          </w:tcPr>
          <w:p>
            <w:pPr>
              <w:pStyle w:val="TableContents"/>
              <w:bidi w:val="0"/>
              <w:spacing w:before="0" w:after="283"/>
              <w:jc w:val="center"/>
              <w:rPr/>
            </w:pPr>
            <w:r>
              <w:rPr/>
              <w:t>3 years</w:t>
            </w:r>
          </w:p>
        </w:tc>
      </w:tr>
      <w:tr>
        <w:trPr/>
        <w:tc>
          <w:tcPr>
            <w:tcW w:w="3446" w:type="dxa"/>
            <w:tcBorders/>
          </w:tcPr>
          <w:p>
            <w:pPr>
              <w:pStyle w:val="TableContents"/>
              <w:bidi w:val="0"/>
              <w:spacing w:before="0" w:after="283"/>
              <w:jc w:val="left"/>
              <w:rPr/>
            </w:pPr>
            <w:r>
              <w:rPr/>
              <w:t>Test equipment</w:t>
            </w:r>
          </w:p>
        </w:tc>
        <w:tc>
          <w:tcPr>
            <w:tcW w:w="197" w:type="dxa"/>
            <w:tcBorders/>
            <w:vAlign w:val="bottom"/>
          </w:tcPr>
          <w:p>
            <w:pPr>
              <w:pStyle w:val="TableContents"/>
              <w:bidi w:val="0"/>
              <w:spacing w:before="0" w:after="283"/>
              <w:jc w:val="left"/>
              <w:rPr/>
            </w:pPr>
            <w:r>
              <w:rPr/>
              <w:t>  </w:t>
            </w:r>
          </w:p>
        </w:tc>
        <w:tc>
          <w:tcPr>
            <w:tcW w:w="3181" w:type="dxa"/>
            <w:tcBorders/>
          </w:tcPr>
          <w:p>
            <w:pPr>
              <w:pStyle w:val="TableContents"/>
              <w:bidi w:val="0"/>
              <w:spacing w:before="0" w:after="283"/>
              <w:jc w:val="center"/>
              <w:rPr/>
            </w:pPr>
            <w:r>
              <w:rPr/>
              <w:t>5 years</w:t>
            </w:r>
          </w:p>
        </w:tc>
        <w:tc>
          <w:tcPr>
            <w:tcW w:w="197" w:type="dxa"/>
            <w:tcBorders/>
            <w:vAlign w:val="bottom"/>
          </w:tcPr>
          <w:p>
            <w:pPr>
              <w:pStyle w:val="TableContents"/>
              <w:bidi w:val="0"/>
              <w:spacing w:before="0" w:after="283"/>
              <w:jc w:val="left"/>
              <w:rPr/>
            </w:pPr>
            <w:r>
              <w:rPr/>
              <w:t>  </w:t>
            </w:r>
          </w:p>
        </w:tc>
        <w:tc>
          <w:tcPr>
            <w:tcW w:w="3184" w:type="dxa"/>
            <w:tcBorders/>
          </w:tcPr>
          <w:p>
            <w:pPr>
              <w:pStyle w:val="TableContents"/>
              <w:bidi w:val="0"/>
              <w:spacing w:before="0" w:after="283"/>
              <w:jc w:val="center"/>
              <w:rPr/>
            </w:pPr>
            <w:r>
              <w:rPr/>
              <w:t>5 years</w:t>
            </w:r>
          </w:p>
        </w:tc>
      </w:tr>
      <w:tr>
        <w:trPr/>
        <w:tc>
          <w:tcPr>
            <w:tcW w:w="3446" w:type="dxa"/>
            <w:tcBorders/>
          </w:tcPr>
          <w:p>
            <w:pPr>
              <w:pStyle w:val="TableContents"/>
              <w:bidi w:val="0"/>
              <w:spacing w:before="0" w:after="283"/>
              <w:jc w:val="left"/>
              <w:rPr/>
            </w:pPr>
            <w:r>
              <w:rPr/>
              <w:t>Leasehold improvements</w:t>
            </w:r>
          </w:p>
        </w:tc>
        <w:tc>
          <w:tcPr>
            <w:tcW w:w="197" w:type="dxa"/>
            <w:tcBorders/>
            <w:vAlign w:val="bottom"/>
          </w:tcPr>
          <w:p>
            <w:pPr>
              <w:pStyle w:val="TableContents"/>
              <w:bidi w:val="0"/>
              <w:spacing w:before="0" w:after="283"/>
              <w:jc w:val="left"/>
              <w:rPr/>
            </w:pPr>
            <w:r>
              <w:rPr/>
              <w:t>  </w:t>
            </w:r>
          </w:p>
        </w:tc>
        <w:tc>
          <w:tcPr>
            <w:tcW w:w="3181" w:type="dxa"/>
            <w:tcBorders/>
          </w:tcPr>
          <w:p>
            <w:pPr>
              <w:pStyle w:val="TableContents"/>
              <w:bidi w:val="0"/>
              <w:spacing w:before="0" w:after="283"/>
              <w:jc w:val="center"/>
              <w:rPr/>
            </w:pPr>
            <w:r>
              <w:rPr/>
              <w:t>Lesser of useful life or lease-term</w:t>
            </w:r>
          </w:p>
        </w:tc>
        <w:tc>
          <w:tcPr>
            <w:tcW w:w="197" w:type="dxa"/>
            <w:tcBorders/>
            <w:vAlign w:val="bottom"/>
          </w:tcPr>
          <w:p>
            <w:pPr>
              <w:pStyle w:val="TableContents"/>
              <w:bidi w:val="0"/>
              <w:spacing w:before="0" w:after="283"/>
              <w:jc w:val="left"/>
              <w:rPr/>
            </w:pPr>
            <w:r>
              <w:rPr/>
              <w:t>  </w:t>
            </w:r>
          </w:p>
        </w:tc>
        <w:tc>
          <w:tcPr>
            <w:tcW w:w="3184" w:type="dxa"/>
            <w:tcBorders/>
          </w:tcPr>
          <w:p>
            <w:pPr>
              <w:pStyle w:val="TableContents"/>
              <w:bidi w:val="0"/>
              <w:spacing w:before="0" w:after="283"/>
              <w:jc w:val="center"/>
              <w:rPr/>
            </w:pPr>
            <w:r>
              <w:rPr/>
              <w:t>Lesser of useful life or lease-term</w:t>
            </w:r>
          </w:p>
        </w:tc>
      </w:tr>
      <w:tr>
        <w:trPr/>
        <w:tc>
          <w:tcPr>
            <w:tcW w:w="3446" w:type="dxa"/>
            <w:tcBorders/>
          </w:tcPr>
          <w:p>
            <w:pPr>
              <w:pStyle w:val="TableContents"/>
              <w:bidi w:val="0"/>
              <w:spacing w:before="0" w:after="283"/>
              <w:jc w:val="left"/>
              <w:rPr/>
            </w:pPr>
            <w:r>
              <w:rPr/>
              <w:t>Medical rental equipment</w:t>
            </w:r>
          </w:p>
        </w:tc>
        <w:tc>
          <w:tcPr>
            <w:tcW w:w="197" w:type="dxa"/>
            <w:tcBorders/>
            <w:vAlign w:val="bottom"/>
          </w:tcPr>
          <w:p>
            <w:pPr>
              <w:pStyle w:val="TableContents"/>
              <w:bidi w:val="0"/>
              <w:spacing w:before="0" w:after="283"/>
              <w:jc w:val="left"/>
              <w:rPr/>
            </w:pPr>
            <w:r>
              <w:rPr/>
              <w:t>  </w:t>
            </w:r>
          </w:p>
        </w:tc>
        <w:tc>
          <w:tcPr>
            <w:tcW w:w="3181" w:type="dxa"/>
            <w:tcBorders/>
          </w:tcPr>
          <w:p>
            <w:pPr>
              <w:pStyle w:val="TableContents"/>
              <w:bidi w:val="0"/>
              <w:spacing w:before="0" w:after="283"/>
              <w:jc w:val="center"/>
              <w:rPr/>
            </w:pPr>
            <w:r>
              <w:rPr/>
              <w:t>28 years</w:t>
            </w:r>
          </w:p>
        </w:tc>
        <w:tc>
          <w:tcPr>
            <w:tcW w:w="197" w:type="dxa"/>
            <w:tcBorders/>
            <w:vAlign w:val="bottom"/>
          </w:tcPr>
          <w:p>
            <w:pPr>
              <w:pStyle w:val="TableContents"/>
              <w:bidi w:val="0"/>
              <w:spacing w:before="0" w:after="283"/>
              <w:jc w:val="left"/>
              <w:rPr/>
            </w:pPr>
            <w:r>
              <w:rPr/>
              <w:t>  </w:t>
            </w:r>
          </w:p>
        </w:tc>
        <w:tc>
          <w:tcPr>
            <w:tcW w:w="3184" w:type="dxa"/>
            <w:tcBorders/>
          </w:tcPr>
          <w:p>
            <w:pPr>
              <w:pStyle w:val="TableContents"/>
              <w:bidi w:val="0"/>
              <w:spacing w:before="0" w:after="283"/>
              <w:jc w:val="center"/>
              <w:rPr/>
            </w:pPr>
            <w:r>
              <w:rPr/>
              <w:t>1.57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October 31, 2024, the estimated useful life of the Medical rental equipment asset class was changed prospectively from 1.57 years to 28 years. This change was the result of an FDA approval allowing therapy cables to be repaired up to three times which increased the estimated useful life of this component from two years to eight years. The impact was a reduction of depreciation expense, which is included within costs of revenue, by $1,208 in the six months ended October 31, 2024, compared to if the useful life of therapy cables had remained at two years. This change in estimated useful life reduced net loss and comprehensive loss by the same amount. </w:t>
      </w:r>
    </w:p>
    <w:p>
      <w:pPr>
        <w:pStyle w:val="TextBody"/>
        <w:bidi w:val="0"/>
        <w:spacing w:before="240" w:after="0"/>
        <w:jc w:val="left"/>
        <w:rPr>
          <w:rFonts w:ascii="Times New Roman" w:hAnsi="Times New Roman"/>
          <w:sz w:val="20"/>
        </w:rPr>
      </w:pPr>
      <w:r>
        <w:rPr>
          <w:rFonts w:ascii="Times New Roman" w:hAnsi="Times New Roman"/>
          <w:sz w:val="20"/>
        </w:rPr>
        <w:t xml:space="preserve">When assets are retired or otherwise disposed of, the cost and related accumulated depreciation are removed from the accounts, and any resulting gain or loss is recognized in the unaudited interim condensed consolidated statements of operations and comprehensive loss for the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Deposits </w:t>
      </w:r>
    </w:p>
    <w:p>
      <w:pPr>
        <w:pStyle w:val="TextBody"/>
        <w:bidi w:val="0"/>
        <w:spacing w:before="240" w:after="0"/>
        <w:jc w:val="left"/>
        <w:rPr>
          <w:rFonts w:ascii="Times New Roman" w:hAnsi="Times New Roman"/>
          <w:sz w:val="20"/>
        </w:rPr>
      </w:pPr>
      <w:r>
        <w:rPr>
          <w:rFonts w:ascii="Times New Roman" w:hAnsi="Times New Roman"/>
          <w:sz w:val="20"/>
        </w:rPr>
        <w:t xml:space="preserve">Deposits represent advance payments to contracted suppliers for medical rental equipment. These payments are classified as long-term assets in the unaudited interim condensed consolidated balance sheets.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240" w:after="0"/>
        <w:jc w:val="left"/>
        <w:rPr>
          <w:rFonts w:ascii="Times New Roman" w:hAnsi="Times New Roman"/>
          <w:sz w:val="20"/>
        </w:rPr>
      </w:pPr>
      <w:r>
        <w:rPr>
          <w:rFonts w:ascii="Times New Roman" w:hAnsi="Times New Roman"/>
          <w:sz w:val="20"/>
        </w:rPr>
        <w:t xml:space="preserve">The Company generates revenue from the leases of ASSURE© System, which consists of a Wearable Cardioverter Defibrillator combined with a proprietary digital healthcare platform, to at-risk patients for a fixed amount on a month-to-month basis. The lease payments generally consist of the contracted amounts based on reimbursement arrangements with third-party payors including Medicare, Medicaid and private commercial payors, and/or certain patient co-payments. The patient has the right to cancel the lease at any time during the rental period. </w:t>
      </w:r>
    </w:p>
    <w:p>
      <w:pPr>
        <w:pStyle w:val="TextBody"/>
        <w:bidi w:val="0"/>
        <w:spacing w:before="240" w:after="0"/>
        <w:jc w:val="left"/>
        <w:rPr>
          <w:rFonts w:ascii="Times New Roman" w:hAnsi="Times New Roman"/>
          <w:sz w:val="20"/>
        </w:rPr>
      </w:pPr>
      <w:r>
        <w:rPr>
          <w:rFonts w:ascii="Times New Roman" w:hAnsi="Times New Roman"/>
          <w:sz w:val="20"/>
        </w:rPr>
        <w:t xml:space="preserve">The equipment leases are classified as operating leases at lease commencement, and the Company recognizes the revenue associated with ASSURE© rentals in accordance with Accounting Standards Codification Topic 842, </w:t>
      </w:r>
      <w:r>
        <w:rPr>
          <w:rFonts w:ascii="Times New Roman" w:hAnsi="Times New Roman"/>
          <w:i/>
          <w:sz w:val="20"/>
        </w:rPr>
        <w:t>Leases</w:t>
      </w:r>
      <w:r>
        <w:rPr>
          <w:rFonts w:ascii="Times New Roman" w:hAnsi="Times New Roman"/>
          <w:sz w:val="20"/>
        </w:rPr>
        <w:t xml:space="preserve"> (ASC Topic 842). The Company elected the practical expedient provided under ASC Topic 842 to combine the lease of ASSURE© System with the non-lease components, which includes the digital healthcare platform. The ASSURE© System is expected to be the predominant component and, as a result, the Company accounts for the combined revenue components under ASC Topic 842. Revenue is recognized on a straight-line basis over the contractual non-cancellable lease term, which is one month, when collectability of the lease payments is deemed to be probable. If collectability of the lease payments is not deemed to be probable, the lease income is limited to the lesser of the income that would have been recognized if collectability was probable or the lease payments collected. Collectability of all lease payments, which includes amounts reimbursed by third-party payors and/or amounts covered by the patient, is assessed for each contract upon lease commencement and is subject to subsequent reassessment throughout the lease term, as necessary. </w:t>
      </w:r>
    </w:p>
    <w:p>
      <w:pPr>
        <w:pStyle w:val="TextBody"/>
        <w:bidi w:val="0"/>
        <w:spacing w:before="240" w:after="0"/>
        <w:jc w:val="left"/>
        <w:rPr>
          <w:rFonts w:ascii="Times New Roman" w:hAnsi="Times New Roman"/>
          <w:sz w:val="20"/>
        </w:rPr>
      </w:pPr>
      <w:r>
        <w:rPr>
          <w:rFonts w:ascii="Times New Roman" w:hAnsi="Times New Roman"/>
          <w:sz w:val="20"/>
        </w:rPr>
        <w:t xml:space="preserve">Due to the nature of the industry and the reimbursement environment in which we operate, we periodically evaluate the need to record a general reserve under ASC 450, </w:t>
      </w:r>
      <w:r>
        <w:rPr>
          <w:rFonts w:ascii="Times New Roman" w:hAnsi="Times New Roman"/>
          <w:i/>
          <w:sz w:val="20"/>
        </w:rPr>
        <w:t xml:space="preserve">Contingencies, </w:t>
      </w:r>
      <w:r>
        <w:rPr>
          <w:rFonts w:ascii="Times New Roman" w:hAnsi="Times New Roman"/>
          <w:sz w:val="20"/>
        </w:rPr>
        <w:t xml:space="preserve">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 </w:t>
      </w:r>
    </w:p>
    <w:p>
      <w:pPr>
        <w:pStyle w:val="TextBody"/>
        <w:bidi w:val="0"/>
        <w:spacing w:before="240" w:after="0"/>
        <w:jc w:val="left"/>
        <w:rPr>
          <w:rFonts w:ascii="Times New Roman" w:hAnsi="Times New Roman"/>
          <w:b/>
          <w:i/>
          <w:sz w:val="20"/>
        </w:rPr>
      </w:pPr>
      <w:r>
        <w:rPr>
          <w:rFonts w:ascii="Times New Roman" w:hAnsi="Times New Roman"/>
          <w:b/>
          <w:i/>
          <w:sz w:val="20"/>
        </w:rPr>
        <w:t xml:space="preserve">Payments on Behalf of Stockholder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October 31, 2024 and 2023, the Company paid administrative costs to a third party on behalf of stockholder, Parent, of $4,823 and $426, respectively. The payments to a third party on behalf of stockholder were recorded as a deemed dividend in the unaudited interim condensed consolidated statements of changes in redeemable preferred stock and stockholders deficit. </w:t>
      </w:r>
    </w:p>
    <w:p>
      <w:pPr>
        <w:pStyle w:val="TextBody"/>
        <w:bidi w:val="0"/>
        <w:spacing w:before="240" w:after="0"/>
        <w:jc w:val="left"/>
        <w:rPr>
          <w:rFonts w:ascii="Times New Roman" w:hAnsi="Times New Roman"/>
          <w:b/>
          <w:i/>
          <w:sz w:val="20"/>
        </w:rPr>
      </w:pPr>
      <w:r>
        <w:rPr>
          <w:rFonts w:ascii="Times New Roman" w:hAnsi="Times New Roman"/>
          <w:b/>
          <w:i/>
          <w:sz w:val="20"/>
        </w:rPr>
        <w:t xml:space="preserve">Non-controlling interests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reports a non-controlling interest of a consolidated subsidiary within equity in the unaudited interim condensed consolidated balance sheet and the amount of consolidated net loss attributable to the Parent and to the non-controlling interest is presented in the unaudited interim condensed consolidated statements of operations and comprehensive loss. The amount attributed is calculated based on ownership in the consolidated subsidiary. Changes in ownership interests in the subsidiary in which the Company maintains a controlling interest are recorded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Accounting Pronouncements Not Yet Adopted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Financial Accounting Standards Board (FASB) issued Accounting Standards Update (ASU) 2023-07, </w:t>
      </w:r>
      <w:r>
        <w:rPr>
          <w:rFonts w:ascii="Times New Roman" w:hAnsi="Times New Roman"/>
          <w:i/>
          <w:sz w:val="20"/>
        </w:rPr>
        <w:t>Segment Reporting (Topic 280): Improvements to Reportable Segment Disclosures</w:t>
      </w:r>
      <w:r>
        <w:rPr>
          <w:rFonts w:ascii="Times New Roman" w:hAnsi="Times New Roman"/>
          <w:sz w:val="20"/>
        </w:rPr>
        <w:t xml:space="preserve">, which enables investors to better understand an entitys overall performance and assists in assessing potential future cash flows. The guidance is effective for fiscal years beginning after December 15, 2023. The Company is still evaluating the impact that this ASU will have on their financial statement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which enhances transparency and decision usefulness of income tax disclosures, primarily related to the income tax rate reconciliation and income taxes paid information. The guidance is effective for private business entities for annual reporting periods beginning after December 15, 2025. The Company does not anticipate a material impact to the required financial statement disclosure as a result of this ASU.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2024-03, </w:t>
      </w:r>
      <w:r>
        <w:rPr>
          <w:rFonts w:ascii="Times New Roman" w:hAnsi="Times New Roman"/>
          <w:i/>
          <w:sz w:val="20"/>
        </w:rPr>
        <w:t>Income StatementReporting Comprehensive IncomeExpense Disaggregation Disclosures (Subtopic 220-40) (ASU 2024-03)</w:t>
      </w:r>
      <w:r>
        <w:rPr>
          <w:rFonts w:ascii="Times New Roman" w:hAnsi="Times New Roman"/>
          <w:sz w:val="20"/>
        </w:rPr>
        <w:t xml:space="preserve">, requiring disclosure in the notes to the financial statements for specified information about certain costs and expenses. ASU 2024-03 is effective for annual periods beginning after December 15, 2026, and interim periods beginning after December 15, 2027; however early adoption is permitted and can be applied either prospectively or retrospectively. The Company is still evaluating the impact that this ASU will have on their financial statement disclosures. </w:t>
      </w:r>
    </w:p>
    <w:p>
      <w:pPr>
        <w:pStyle w:val="TextBody"/>
        <w:bidi w:val="0"/>
        <w:spacing w:before="240" w:after="0"/>
        <w:jc w:val="left"/>
        <w:rPr>
          <w:rFonts w:ascii="Times New Roman" w:hAnsi="Times New Roman"/>
          <w:sz w:val="20"/>
        </w:rPr>
      </w:pPr>
      <w:r>
        <w:rPr>
          <w:rFonts w:ascii="Times New Roman" w:hAnsi="Times New Roman"/>
          <w:sz w:val="20"/>
        </w:rPr>
        <w:t>The Company has reviewed other recent accounting pronouncements and concluded that they are either not applicable to the business, or that no material effect is expected on the unaudited interim condensed consolidated financial statements as a result of future adoption. No new accounting pronouncements were adopted during the six months ended October 31, 2024.</w:t>
      </w:r>
    </w:p>
    <w:p>
      <w:pPr>
        <w:pStyle w:val="TextBody"/>
        <w:bidi w:val="0"/>
        <w:spacing w:before="240" w:after="0"/>
        <w:jc w:val="left"/>
        <w:rPr>
          <w:rFonts w:ascii="Times New Roman" w:hAnsi="Times New Roman"/>
          <w:b/>
          <w:sz w:val="20"/>
        </w:rPr>
      </w:pPr>
      <w:r>
        <w:rPr>
          <w:rFonts w:ascii="Times New Roman" w:hAnsi="Times New Roman"/>
          <w:b/>
          <w:sz w:val="20"/>
        </w:rPr>
        <w:t xml:space="preserve">3. Prepaid Expenses and Other Current Assets </w:t>
      </w:r>
    </w:p>
    <w:p>
      <w:pPr>
        <w:pStyle w:val="TextBody"/>
        <w:bidi w:val="0"/>
        <w:spacing w:before="240" w:after="0"/>
        <w:jc w:val="left"/>
        <w:rPr>
          <w:rFonts w:ascii="Times New Roman" w:hAnsi="Times New Roman"/>
          <w:sz w:val="20"/>
        </w:rPr>
      </w:pPr>
      <w:r>
        <w:rPr>
          <w:rFonts w:ascii="Times New Roman" w:hAnsi="Times New Roman"/>
          <w:sz w:val="20"/>
        </w:rPr>
        <w:t xml:space="preserve">Prepaid expenses and other current assets consisted of the following at: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4450"/>
        <w:gridCol w:w="531"/>
        <w:gridCol w:w="178"/>
        <w:gridCol w:w="770"/>
        <w:gridCol w:w="60"/>
        <w:gridCol w:w="531"/>
        <w:gridCol w:w="152"/>
        <w:gridCol w:w="610"/>
        <w:gridCol w:w="65"/>
      </w:tblGrid>
      <w:tr>
        <w:trPr/>
        <w:tc>
          <w:tcPr>
            <w:tcW w:w="4450"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October 31,</w:t>
              <w:br/>
              <w:t>2024</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br/>
              <w:t>2024</w:t>
            </w:r>
          </w:p>
        </w:tc>
        <w:tc>
          <w:tcPr>
            <w:tcW w:w="65"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software fees</w:t>
            </w:r>
          </w:p>
        </w:tc>
        <w:tc>
          <w:tcPr>
            <w:tcW w:w="5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870</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610" w:type="dxa"/>
            <w:tcBorders/>
            <w:shd w:fill="CCEEFF" w:val="clear"/>
            <w:vAlign w:val="bottom"/>
          </w:tcPr>
          <w:p>
            <w:pPr>
              <w:pStyle w:val="TableContents"/>
              <w:bidi w:val="0"/>
              <w:spacing w:before="0" w:after="283"/>
              <w:jc w:val="right"/>
              <w:rPr/>
            </w:pPr>
            <w:r>
              <w:rPr/>
              <w:t>951</w:t>
            </w:r>
          </w:p>
        </w:tc>
        <w:tc>
          <w:tcPr>
            <w:tcW w:w="65" w:type="dxa"/>
            <w:tcBorders/>
            <w:shd w:fill="CCEEFF" w:val="clear"/>
            <w:vAlign w:val="bottom"/>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425</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419</w:t>
            </w:r>
          </w:p>
        </w:tc>
        <w:tc>
          <w:tcPr>
            <w:tcW w:w="65"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5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1,295</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610" w:type="dxa"/>
            <w:tcBorders/>
            <w:shd w:fill="CCEEFF" w:val="clear"/>
            <w:vAlign w:val="bottom"/>
          </w:tcPr>
          <w:p>
            <w:pPr>
              <w:pStyle w:val="TableContents"/>
              <w:bidi w:val="0"/>
              <w:spacing w:before="0" w:after="283"/>
              <w:jc w:val="right"/>
              <w:rPr/>
            </w:pPr>
            <w:r>
              <w:rPr/>
              <w:t>1,370</w:t>
            </w:r>
          </w:p>
        </w:tc>
        <w:tc>
          <w:tcPr>
            <w:tcW w:w="65" w:type="dxa"/>
            <w:tcBorders/>
            <w:shd w:fill="CCEEFF" w:val="clear"/>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4. 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consisted of the following at: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4233"/>
        <w:gridCol w:w="485"/>
        <w:gridCol w:w="145"/>
        <w:gridCol w:w="768"/>
        <w:gridCol w:w="156"/>
        <w:gridCol w:w="485"/>
        <w:gridCol w:w="145"/>
        <w:gridCol w:w="768"/>
        <w:gridCol w:w="162"/>
      </w:tblGrid>
      <w:tr>
        <w:trPr/>
        <w:tc>
          <w:tcPr>
            <w:tcW w:w="4233"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33"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October 31,</w:t>
              <w:br/>
              <w:t>2024</w:t>
            </w:r>
          </w:p>
        </w:tc>
        <w:tc>
          <w:tcPr>
            <w:tcW w:w="15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br/>
              <w:t>2024</w:t>
            </w:r>
          </w:p>
        </w:tc>
        <w:tc>
          <w:tcPr>
            <w:tcW w:w="162" w:type="dxa"/>
            <w:tcBorders/>
            <w:vAlign w:val="bottom"/>
          </w:tcPr>
          <w:p>
            <w:pPr>
              <w:pStyle w:val="TableContents"/>
              <w:bidi w:val="0"/>
              <w:spacing w:before="0" w:after="283"/>
              <w:jc w:val="left"/>
              <w:rPr/>
            </w:pPr>
            <w:r>
              <w:rPr/>
              <w:t> </w:t>
            </w:r>
          </w:p>
        </w:tc>
      </w:tr>
      <w:tr>
        <w:trPr/>
        <w:tc>
          <w:tcPr>
            <w:tcW w:w="4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Medical rental equipment</w:t>
            </w:r>
          </w:p>
        </w:tc>
        <w:tc>
          <w:tcPr>
            <w:tcW w:w="4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44,214</w:t>
            </w:r>
          </w:p>
        </w:tc>
        <w:tc>
          <w:tcPr>
            <w:tcW w:w="15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38,097</w:t>
            </w:r>
          </w:p>
        </w:tc>
        <w:tc>
          <w:tcPr>
            <w:tcW w:w="162" w:type="dxa"/>
            <w:tcBorders/>
            <w:shd w:fill="CCEEFF" w:val="clear"/>
            <w:vAlign w:val="bottom"/>
          </w:tcPr>
          <w:p>
            <w:pPr>
              <w:pStyle w:val="TableContents"/>
              <w:bidi w:val="0"/>
              <w:spacing w:before="0" w:after="283"/>
              <w:jc w:val="left"/>
              <w:rPr/>
            </w:pPr>
            <w:r>
              <w:rPr/>
              <w:t> </w:t>
            </w:r>
          </w:p>
        </w:tc>
      </w:tr>
      <w:tr>
        <w:trPr/>
        <w:tc>
          <w:tcPr>
            <w:tcW w:w="4233" w:type="dxa"/>
            <w:tcBorders/>
          </w:tcPr>
          <w:p>
            <w:pPr>
              <w:pStyle w:val="TableContents"/>
              <w:bidi w:val="0"/>
              <w:spacing w:before="0" w:after="0"/>
              <w:jc w:val="left"/>
              <w:rPr>
                <w:rFonts w:ascii="Times New Roman" w:hAnsi="Times New Roman"/>
                <w:sz w:val="20"/>
              </w:rPr>
            </w:pPr>
            <w:r>
              <w:rPr>
                <w:rFonts w:ascii="Times New Roman" w:hAnsi="Times New Roman"/>
                <w:sz w:val="20"/>
              </w:rPr>
              <w:t>Computer software and equipment</w:t>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1,440</w:t>
            </w:r>
          </w:p>
        </w:tc>
        <w:tc>
          <w:tcPr>
            <w:tcW w:w="15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1,439</w:t>
            </w:r>
          </w:p>
        </w:tc>
        <w:tc>
          <w:tcPr>
            <w:tcW w:w="162" w:type="dxa"/>
            <w:tcBorders/>
            <w:vAlign w:val="bottom"/>
          </w:tcPr>
          <w:p>
            <w:pPr>
              <w:pStyle w:val="TableContents"/>
              <w:bidi w:val="0"/>
              <w:spacing w:before="0" w:after="283"/>
              <w:jc w:val="left"/>
              <w:rPr/>
            </w:pPr>
            <w:r>
              <w:rPr/>
              <w:t> </w:t>
            </w:r>
          </w:p>
        </w:tc>
      </w:tr>
      <w:tr>
        <w:trPr/>
        <w:tc>
          <w:tcPr>
            <w:tcW w:w="4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Test equipment</w:t>
            </w:r>
          </w:p>
        </w:tc>
        <w:tc>
          <w:tcPr>
            <w:tcW w:w="4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3,332</w:t>
            </w:r>
          </w:p>
        </w:tc>
        <w:tc>
          <w:tcPr>
            <w:tcW w:w="15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3,224</w:t>
            </w:r>
          </w:p>
        </w:tc>
        <w:tc>
          <w:tcPr>
            <w:tcW w:w="162" w:type="dxa"/>
            <w:tcBorders/>
            <w:shd w:fill="CCEEFF" w:val="clear"/>
            <w:vAlign w:val="bottom"/>
          </w:tcPr>
          <w:p>
            <w:pPr>
              <w:pStyle w:val="TableContents"/>
              <w:bidi w:val="0"/>
              <w:spacing w:before="0" w:after="283"/>
              <w:jc w:val="left"/>
              <w:rPr/>
            </w:pPr>
            <w:r>
              <w:rPr/>
              <w:t> </w:t>
            </w:r>
          </w:p>
        </w:tc>
      </w:tr>
      <w:tr>
        <w:trPr/>
        <w:tc>
          <w:tcPr>
            <w:tcW w:w="4233"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891</w:t>
            </w:r>
          </w:p>
        </w:tc>
        <w:tc>
          <w:tcPr>
            <w:tcW w:w="15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891</w:t>
            </w:r>
          </w:p>
        </w:tc>
        <w:tc>
          <w:tcPr>
            <w:tcW w:w="162" w:type="dxa"/>
            <w:tcBorders/>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49,877</w:t>
            </w:r>
          </w:p>
        </w:tc>
        <w:tc>
          <w:tcPr>
            <w:tcW w:w="15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43,651</w:t>
            </w:r>
          </w:p>
        </w:tc>
        <w:tc>
          <w:tcPr>
            <w:tcW w:w="162" w:type="dxa"/>
            <w:tcBorders/>
            <w:shd w:fill="CCEEFF" w:val="clear"/>
            <w:vAlign w:val="bottom"/>
          </w:tcPr>
          <w:p>
            <w:pPr>
              <w:pStyle w:val="TableContents"/>
              <w:bidi w:val="0"/>
              <w:spacing w:before="0" w:after="283"/>
              <w:jc w:val="left"/>
              <w:rPr/>
            </w:pPr>
            <w:r>
              <w:rPr/>
              <w:t> </w:t>
            </w:r>
          </w:p>
        </w:tc>
      </w:tr>
      <w:tr>
        <w:trPr/>
        <w:tc>
          <w:tcPr>
            <w:tcW w:w="4233"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(20,930</w:t>
            </w:r>
          </w:p>
        </w:tc>
        <w:tc>
          <w:tcPr>
            <w:tcW w:w="15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(17,546</w:t>
            </w:r>
          </w:p>
        </w:tc>
        <w:tc>
          <w:tcPr>
            <w:tcW w:w="162" w:type="dxa"/>
            <w:tcBorders/>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28,947</w:t>
            </w:r>
          </w:p>
        </w:tc>
        <w:tc>
          <w:tcPr>
            <w:tcW w:w="15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26,105</w:t>
            </w:r>
          </w:p>
        </w:tc>
        <w:tc>
          <w:tcPr>
            <w:tcW w:w="162" w:type="dxa"/>
            <w:tcBorders/>
            <w:shd w:fill="CCEEFF" w:val="clear"/>
            <w:vAlign w:val="bottom"/>
          </w:tcPr>
          <w:p>
            <w:pPr>
              <w:pStyle w:val="TableContents"/>
              <w:bidi w:val="0"/>
              <w:spacing w:before="0" w:after="283"/>
              <w:jc w:val="left"/>
              <w:rPr/>
            </w:pPr>
            <w:r>
              <w:rPr/>
              <w:t> </w:t>
            </w:r>
          </w:p>
        </w:tc>
      </w:tr>
      <w:tr>
        <w:trPr/>
        <w:tc>
          <w:tcPr>
            <w:tcW w:w="4233"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$4,244 and $4,695 of depreciation expense for the six months ended October 31, 2024 and 2023,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5. Leases </w:t>
      </w:r>
    </w:p>
    <w:p>
      <w:pPr>
        <w:pStyle w:val="TextBody"/>
        <w:bidi w:val="0"/>
        <w:spacing w:before="240" w:after="0"/>
        <w:jc w:val="left"/>
        <w:rPr>
          <w:rFonts w:ascii="Times New Roman" w:hAnsi="Times New Roman"/>
          <w:sz w:val="20"/>
        </w:rPr>
      </w:pPr>
      <w:r>
        <w:rPr>
          <w:rFonts w:ascii="Times New Roman" w:hAnsi="Times New Roman"/>
          <w:sz w:val="20"/>
        </w:rPr>
        <w:t xml:space="preserve">In June 2021, the Company amended its office lease that began on May 1, 2020 to expand the leased space, commencing on September 1, 2021. The amendment is subject to all terms and conditions of the original office lease agreement and expires in April 2024. In October 2023, the Company amended the existing arrangements into an extended office lease set to expire in April 2029. The Company has the option to renew for 3 or 5 years upon expiration of the extended term. </w:t>
      </w:r>
    </w:p>
    <w:p>
      <w:pPr>
        <w:pStyle w:val="TextBody"/>
        <w:bidi w:val="0"/>
        <w:spacing w:before="240" w:after="0"/>
        <w:jc w:val="left"/>
        <w:rPr>
          <w:rFonts w:ascii="Times New Roman" w:hAnsi="Times New Roman"/>
          <w:sz w:val="20"/>
        </w:rPr>
      </w:pPr>
      <w:r>
        <w:rPr>
          <w:rFonts w:ascii="Times New Roman" w:hAnsi="Times New Roman"/>
          <w:sz w:val="20"/>
        </w:rPr>
        <w:t xml:space="preserve">The October 2023 amendment provided rent abatement from November 1, 2023 through April 30, 2024. The same amendment further provided a tenant improvement allowance of $943 to be used as rent abatement or tenant improvement reimbursement by June 2026, and $786 specific for tenant improvements. In August of 2024, the Company amended its office lease to allow for two additional months of rent abatement and also allowed the specific tenant improvement reimbursement to be used for rent abatement or tenant improvements.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expense was as follows for the periods below: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3590"/>
        <w:gridCol w:w="410"/>
        <w:gridCol w:w="142"/>
        <w:gridCol w:w="397"/>
        <w:gridCol w:w="60"/>
        <w:gridCol w:w="410"/>
        <w:gridCol w:w="142"/>
        <w:gridCol w:w="397"/>
        <w:gridCol w:w="64"/>
      </w:tblGrid>
      <w:tr>
        <w:trPr/>
        <w:tc>
          <w:tcPr>
            <w:tcW w:w="359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548"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Six Months</w:t>
              <w:br/>
              <w:t>Ended</w:t>
              <w:br/>
              <w:t>October 31,</w:t>
            </w:r>
          </w:p>
        </w:tc>
        <w:tc>
          <w:tcPr>
            <w:tcW w:w="64"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3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3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64" w:type="dxa"/>
            <w:tcBorders/>
            <w:vAlign w:val="bottom"/>
          </w:tcPr>
          <w:p>
            <w:pPr>
              <w:pStyle w:val="TableContents"/>
              <w:bidi w:val="0"/>
              <w:spacing w:before="0" w:after="283"/>
              <w:jc w:val="left"/>
              <w:rPr/>
            </w:pPr>
            <w:r>
              <w:rPr/>
              <w:t> </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41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397" w:type="dxa"/>
            <w:tcBorders/>
            <w:shd w:fill="CCEEFF" w:val="clear"/>
            <w:vAlign w:val="bottom"/>
          </w:tcPr>
          <w:p>
            <w:pPr>
              <w:pStyle w:val="TableContents"/>
              <w:bidi w:val="0"/>
              <w:spacing w:before="0" w:after="283"/>
              <w:jc w:val="right"/>
              <w:rPr/>
            </w:pPr>
            <w:r>
              <w:rPr/>
              <w:t>367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397" w:type="dxa"/>
            <w:tcBorders/>
            <w:shd w:fill="CCEEFF" w:val="clear"/>
            <w:vAlign w:val="bottom"/>
          </w:tcPr>
          <w:p>
            <w:pPr>
              <w:pStyle w:val="TableContents"/>
              <w:bidi w:val="0"/>
              <w:spacing w:before="0" w:after="283"/>
              <w:jc w:val="right"/>
              <w:rPr/>
            </w:pPr>
            <w:r>
              <w:rPr/>
              <w:t>589</w:t>
            </w:r>
          </w:p>
        </w:tc>
        <w:tc>
          <w:tcPr>
            <w:tcW w:w="64" w:type="dxa"/>
            <w:tcBorders/>
            <w:shd w:fill="CCEEFF" w:val="clear"/>
            <w:vAlign w:val="bottom"/>
          </w:tcPr>
          <w:p>
            <w:pPr>
              <w:pStyle w:val="TableContents"/>
              <w:bidi w:val="0"/>
              <w:spacing w:before="0" w:after="283"/>
              <w:jc w:val="left"/>
              <w:rPr/>
            </w:pPr>
            <w:r>
              <w:rPr/>
              <w:t> </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41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306</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318</w:t>
            </w:r>
          </w:p>
        </w:tc>
        <w:tc>
          <w:tcPr>
            <w:tcW w:w="64"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expense</w:t>
            </w:r>
          </w:p>
        </w:tc>
        <w:tc>
          <w:tcPr>
            <w:tcW w:w="41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397" w:type="dxa"/>
            <w:tcBorders/>
            <w:shd w:fill="CCEEFF" w:val="clear"/>
            <w:vAlign w:val="bottom"/>
          </w:tcPr>
          <w:p>
            <w:pPr>
              <w:pStyle w:val="TableContents"/>
              <w:bidi w:val="0"/>
              <w:spacing w:before="0" w:after="283"/>
              <w:jc w:val="right"/>
              <w:rPr/>
            </w:pPr>
            <w:r>
              <w:rPr/>
              <w:t>673</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397" w:type="dxa"/>
            <w:tcBorders/>
            <w:shd w:fill="CCEEFF" w:val="clear"/>
            <w:vAlign w:val="bottom"/>
          </w:tcPr>
          <w:p>
            <w:pPr>
              <w:pStyle w:val="TableContents"/>
              <w:bidi w:val="0"/>
              <w:spacing w:before="0" w:after="283"/>
              <w:jc w:val="right"/>
              <w:rPr/>
            </w:pPr>
            <w:r>
              <w:rPr/>
              <w:t>907</w:t>
            </w:r>
          </w:p>
        </w:tc>
        <w:tc>
          <w:tcPr>
            <w:tcW w:w="64" w:type="dxa"/>
            <w:tcBorders/>
            <w:shd w:fill="CCEEFF" w:val="clear"/>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3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3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Operating lease expense includes amortization and interest expense associated with operating lease right-of-use assets and liabilities. Variable lease expense includes payments related to taxes, insurance and maintenance costs as required by the lease. </w:t>
      </w:r>
    </w:p>
    <w:p>
      <w:pPr>
        <w:pStyle w:val="TextBody"/>
        <w:bidi w:val="0"/>
        <w:spacing w:before="240" w:after="0"/>
        <w:jc w:val="left"/>
        <w:rPr>
          <w:rFonts w:ascii="Times New Roman" w:hAnsi="Times New Roman"/>
          <w:sz w:val="20"/>
        </w:rPr>
      </w:pPr>
      <w:r>
        <w:rPr>
          <w:rFonts w:ascii="Times New Roman" w:hAnsi="Times New Roman"/>
          <w:sz w:val="20"/>
        </w:rPr>
        <w:t xml:space="preserve">Cash paid for operating leases was $333 and $977 for the six months ended October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weighted average remaining lease term for the Companys operating leases was 54 months as of October 31, 2024 and 60 months as of April 30, 2024. The weighted average discount rate used to calculate the net present value of the Companys operating lease liabilities was 15.2% as of October 31, 2024 and April 30, 2024,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6. Accrued Liabilities </w:t>
      </w:r>
    </w:p>
    <w:p>
      <w:pPr>
        <w:pStyle w:val="TextBody"/>
        <w:bidi w:val="0"/>
        <w:spacing w:before="240" w:after="0"/>
        <w:jc w:val="left"/>
        <w:rPr>
          <w:rFonts w:ascii="Times New Roman" w:hAnsi="Times New Roman"/>
          <w:sz w:val="20"/>
        </w:rPr>
      </w:pPr>
      <w:r>
        <w:rPr>
          <w:rFonts w:ascii="Times New Roman" w:hAnsi="Times New Roman"/>
          <w:sz w:val="20"/>
        </w:rPr>
        <w:t xml:space="preserve">Accrued liabilities consisted of the following at: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2854"/>
        <w:gridCol w:w="464"/>
        <w:gridCol w:w="151"/>
        <w:gridCol w:w="810"/>
        <w:gridCol w:w="60"/>
        <w:gridCol w:w="464"/>
        <w:gridCol w:w="142"/>
        <w:gridCol w:w="603"/>
        <w:gridCol w:w="64"/>
      </w:tblGrid>
      <w:tr>
        <w:trPr/>
        <w:tc>
          <w:tcPr>
            <w:tcW w:w="2854"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54"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October 31,</w:t>
              <w:br/>
              <w:t>2024</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74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br/>
              <w:t>2024</w:t>
            </w:r>
          </w:p>
        </w:tc>
        <w:tc>
          <w:tcPr>
            <w:tcW w:w="64" w:type="dxa"/>
            <w:tcBorders/>
            <w:vAlign w:val="bottom"/>
          </w:tcPr>
          <w:p>
            <w:pPr>
              <w:pStyle w:val="TableContents"/>
              <w:bidi w:val="0"/>
              <w:spacing w:before="0" w:after="283"/>
              <w:jc w:val="left"/>
              <w:rPr/>
            </w:pPr>
            <w:r>
              <w:rPr/>
              <w:t> </w:t>
            </w:r>
          </w:p>
        </w:tc>
      </w:tr>
      <w:tr>
        <w:trPr/>
        <w:tc>
          <w:tcPr>
            <w:tcW w:w="2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Bonuses and commissions</w:t>
            </w:r>
          </w:p>
        </w:tc>
        <w:tc>
          <w:tcPr>
            <w:tcW w:w="4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4,424</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03" w:type="dxa"/>
            <w:tcBorders/>
            <w:shd w:fill="CCEEFF" w:val="clear"/>
            <w:vAlign w:val="bottom"/>
          </w:tcPr>
          <w:p>
            <w:pPr>
              <w:pStyle w:val="TableContents"/>
              <w:bidi w:val="0"/>
              <w:spacing w:before="0" w:after="283"/>
              <w:jc w:val="right"/>
              <w:rPr/>
            </w:pPr>
            <w:r>
              <w:rPr/>
              <w:t>4,291</w:t>
            </w:r>
          </w:p>
        </w:tc>
        <w:tc>
          <w:tcPr>
            <w:tcW w:w="64" w:type="dxa"/>
            <w:tcBorders/>
            <w:shd w:fill="CCEEFF" w:val="clear"/>
            <w:vAlign w:val="bottom"/>
          </w:tcPr>
          <w:p>
            <w:pPr>
              <w:pStyle w:val="TableContents"/>
              <w:bidi w:val="0"/>
              <w:spacing w:before="0" w:after="283"/>
              <w:jc w:val="left"/>
              <w:rPr/>
            </w:pPr>
            <w:r>
              <w:rPr/>
              <w:t> </w:t>
            </w:r>
          </w:p>
        </w:tc>
      </w:tr>
      <w:tr>
        <w:trPr/>
        <w:tc>
          <w:tcPr>
            <w:tcW w:w="2854"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4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4,043</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2,651</w:t>
            </w:r>
          </w:p>
        </w:tc>
        <w:tc>
          <w:tcPr>
            <w:tcW w:w="64" w:type="dxa"/>
            <w:tcBorders/>
            <w:vAlign w:val="bottom"/>
          </w:tcPr>
          <w:p>
            <w:pPr>
              <w:pStyle w:val="TableContents"/>
              <w:bidi w:val="0"/>
              <w:spacing w:before="0" w:after="283"/>
              <w:jc w:val="left"/>
              <w:rPr/>
            </w:pPr>
            <w:r>
              <w:rPr/>
              <w:t> </w:t>
            </w:r>
          </w:p>
        </w:tc>
      </w:tr>
      <w:tr>
        <w:trPr/>
        <w:tc>
          <w:tcPr>
            <w:tcW w:w="2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Vacation</w:t>
            </w:r>
          </w:p>
        </w:tc>
        <w:tc>
          <w:tcPr>
            <w:tcW w:w="4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1,982</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1,903</w:t>
            </w:r>
          </w:p>
        </w:tc>
        <w:tc>
          <w:tcPr>
            <w:tcW w:w="64" w:type="dxa"/>
            <w:tcBorders/>
            <w:shd w:fill="CCEEFF" w:val="clear"/>
            <w:vAlign w:val="bottom"/>
          </w:tcPr>
          <w:p>
            <w:pPr>
              <w:pStyle w:val="TableContents"/>
              <w:bidi w:val="0"/>
              <w:spacing w:before="0" w:after="283"/>
              <w:jc w:val="left"/>
              <w:rPr/>
            </w:pPr>
            <w:r>
              <w:rPr/>
              <w:t> </w:t>
            </w:r>
          </w:p>
        </w:tc>
      </w:tr>
      <w:tr>
        <w:trPr/>
        <w:tc>
          <w:tcPr>
            <w:tcW w:w="2854" w:type="dxa"/>
            <w:tcBorders/>
          </w:tcPr>
          <w:p>
            <w:pPr>
              <w:pStyle w:val="TableContents"/>
              <w:bidi w:val="0"/>
              <w:spacing w:before="0" w:after="0"/>
              <w:jc w:val="left"/>
              <w:rPr>
                <w:rFonts w:ascii="Times New Roman" w:hAnsi="Times New Roman"/>
                <w:sz w:val="20"/>
              </w:rPr>
            </w:pPr>
            <w:r>
              <w:rPr>
                <w:rFonts w:ascii="Times New Roman" w:hAnsi="Times New Roman"/>
                <w:sz w:val="20"/>
              </w:rPr>
              <w:t>Payroll and payroll taxes</w:t>
            </w:r>
          </w:p>
        </w:tc>
        <w:tc>
          <w:tcPr>
            <w:tcW w:w="4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234</w:t>
            </w:r>
          </w:p>
        </w:tc>
        <w:tc>
          <w:tcPr>
            <w:tcW w:w="64" w:type="dxa"/>
            <w:tcBorders/>
            <w:vAlign w:val="bottom"/>
          </w:tcPr>
          <w:p>
            <w:pPr>
              <w:pStyle w:val="TableContents"/>
              <w:bidi w:val="0"/>
              <w:spacing w:before="0" w:after="283"/>
              <w:jc w:val="left"/>
              <w:rPr/>
            </w:pPr>
            <w:r>
              <w:rPr/>
              <w:t> </w:t>
            </w:r>
          </w:p>
        </w:tc>
      </w:tr>
      <w:tr>
        <w:trPr/>
        <w:tc>
          <w:tcPr>
            <w:tcW w:w="2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54"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854"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4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11,115</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603" w:type="dxa"/>
            <w:tcBorders/>
            <w:vAlign w:val="bottom"/>
          </w:tcPr>
          <w:p>
            <w:pPr>
              <w:pStyle w:val="TableContents"/>
              <w:bidi w:val="0"/>
              <w:spacing w:before="0" w:after="283"/>
              <w:jc w:val="right"/>
              <w:rPr/>
            </w:pPr>
            <w:r>
              <w:rPr/>
              <w:t>9,079</w:t>
            </w:r>
          </w:p>
        </w:tc>
        <w:tc>
          <w:tcPr>
            <w:tcW w:w="64" w:type="dxa"/>
            <w:tcBorders/>
            <w:vAlign w:val="bottom"/>
          </w:tcPr>
          <w:p>
            <w:pPr>
              <w:pStyle w:val="TableContents"/>
              <w:bidi w:val="0"/>
              <w:spacing w:before="0" w:after="283"/>
              <w:jc w:val="left"/>
              <w:rPr/>
            </w:pPr>
            <w:r>
              <w:rPr/>
              <w:t> </w:t>
            </w:r>
          </w:p>
        </w:tc>
      </w:tr>
      <w:tr>
        <w:trPr/>
        <w:tc>
          <w:tcPr>
            <w:tcW w:w="2854"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6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7. Long-Term Debt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2020, WAH Corp. and Kestra entered into the Loan and Security Agreement (the Loan Agreement) with a lender, which provided for a Senior Secured Delayed-Draw Term Loan in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aggregate principal amount of up to $50.0 million (the Term Loan). Borrowings under the original Term Loan are made available in up to three tranches, which are subject to the Company achieving certain funding, regulatory or revenue milestones as defined in the Loan Agreement. The term loan includes certain six month trailing revenue targets beginning in July of 2022, if breached, will increase the interest rate on the Term Loan by 1.0% and require the then outstanding balance to accelerate to be repaid over a 24-month period.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2020, the Company drew the first tranche of the Term Loan pursuant to the terms of the Loan Agreement in the amount of $20.0 million. The Company incurred a 1.0% facility fee of the total available loan amount of $50.0 million upon the draw of the first tranche and legal fees of $832 for both the Company and the lender. The Company recognized a portion of the facility fee and legal fees as a discount to the long-term debt liability and a portion in other long-term assets, relative to the tranche draws, both of which are amortized as interest expense over the term of the loan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draw on the first tranche, the Parent issued a warrant to the lender to purchase up to 49,044 shares of the Parents common units at an exercise price of $22.63 per share. The fair value of the warrant is $320 and is recognized as a debt discount and as a capital contribution, and the debt discount is amortized over the term of the loan to interest expense. </w:t>
      </w:r>
    </w:p>
    <w:p>
      <w:pPr>
        <w:pStyle w:val="TextBody"/>
        <w:bidi w:val="0"/>
        <w:spacing w:before="240" w:after="0"/>
        <w:jc w:val="left"/>
        <w:rPr>
          <w:rFonts w:ascii="Times New Roman" w:hAnsi="Times New Roman"/>
          <w:sz w:val="20"/>
        </w:rPr>
      </w:pPr>
      <w:r>
        <w:rPr>
          <w:rFonts w:ascii="Times New Roman" w:hAnsi="Times New Roman"/>
          <w:sz w:val="20"/>
        </w:rPr>
        <w:t xml:space="preserve">On January 21, 2022, the Company drew the second tranche of the Delayed Senior Secured Term Loan pursuant to the terms of the Loan Agreement in the amount of $15.0 million. Relative to the second tranche draw, the Company reclassified a portion of the facility fee and legal fees from other long-term assets to the long-term debt liability as a debt discount, with both facility and legal fees being amortized as interest expense over the term of the loan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draw of the second tranche, the Parent issued a warrant to the lender to purchase up to 36,783 shares of the Parents common units at an exercise price of $26.24 per share. The fair value of the warrant is $375 and is recognized as a debt discount and as a capital contribution, and the debt discount is amortized over the term of the loan to interest expense. </w:t>
      </w:r>
    </w:p>
    <w:p>
      <w:pPr>
        <w:pStyle w:val="TextBody"/>
        <w:bidi w:val="0"/>
        <w:spacing w:before="240" w:after="0"/>
        <w:jc w:val="left"/>
        <w:rPr>
          <w:rFonts w:ascii="Times New Roman" w:hAnsi="Times New Roman"/>
          <w:sz w:val="20"/>
        </w:rPr>
      </w:pPr>
      <w:r>
        <w:rPr>
          <w:rFonts w:ascii="Times New Roman" w:hAnsi="Times New Roman"/>
          <w:sz w:val="20"/>
        </w:rPr>
        <w:t xml:space="preserve">The Term Loan originally bore interest on outstanding balances of 14.5% per annum, all of which could be paid-in-kind, accrued and added to the principal balance and compounded quarterly until the earlier of the repayment or maturity date of the Term Loan. Following achievement of Premarket Approval from the FDA of the Companys ASSURE® WCD system, the Term Loan would bear interest of 12.5% per annum, up to 6.5% of which can be paid-in-kind, accrued and added to the principal and compounded quarterly until the earlier of either the repayment or maturity date of the Term Loan. On July 27, 2021, the Company received FDA Premarket Approval for the ASSURE®WCD system and submitted evidence of the FDA Premarket Approval to the lender of the Term Loan. As such, the Term Loan began to bear interest on outstanding balances of 12.5% per annum, up to 6.5% of which could be paid-in-kind, accrued and added to the principal and compounded quarterly until the earlier of either the repayment or maturity date of the Term Loan. On April 11, 2022, the Company and the lender entered into a First Amendment to Loan and Security Agreement (the Amendment), pursuant to which the parties agreed to amend the existing Loan Agreement to (i) provide for additional funding under additional tranche Loan (Tranche D Draw) in the amount of $10.0 million, (ii) increase the aggregated principal amount by $10.0 million, to a total of $60.0 million, (iii) increase the portion of paid-in-kind interest to 100% of a stated interest rate at 12.5% for the period starting February 1, 2022 through April 30, 2023 and thereafter at a rate of 6.5% in accordance with the terms of the loan, and (iv) modify the certain revenue targets and defer the first measurement date to October of 2022. The Amendment included the ability to draw on the third tranche of the debt until March 24, 2023, provided the Company could achieve $9.0 million in three-month trailing revenue. Further, the fourth tranche (Tranche D Draw) for $10.0 million is available until July 24, 2023 upon achievement of a six-month trailing revenue of $25.0 million. The original loan maturity date of September 24, 2025 under the loan modification remained unchanged. The Company evaluated the Amendment to the Term Loan under accounting guidance ASC 470, Debt and determined that the amendment should be treated as a debt modification, as such no gain or loss was recognized in the year ended April 30,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October 31, 2022, the Company did not meet the required revenue target for the preceding six-months trailing revenue. As a result, the Company began to make principal payments over a 24-month period, payable at the beginning of the following quarter and the interest rate increased by 1% to 13.5%. The Company made its first principal payment of $5,333 on February 1, 2023. The Company did not meet its revenue target for the preceding six months as of January 31, 2023 and principal payments continued. The Company made a second principal payment on May 1, 2023 for $5,511. The Company did not meet its revenue target for the preceding six months as of April 30, 2023 and the next principal payment was due on August 1, 2023. </w:t>
      </w:r>
    </w:p>
    <w:p>
      <w:pPr>
        <w:pStyle w:val="TextBody"/>
        <w:bidi w:val="0"/>
        <w:spacing w:before="240" w:after="0"/>
        <w:jc w:val="left"/>
        <w:rPr>
          <w:rFonts w:ascii="Times New Roman" w:hAnsi="Times New Roman"/>
          <w:sz w:val="20"/>
        </w:rPr>
      </w:pPr>
      <w:r>
        <w:rPr>
          <w:rFonts w:ascii="Times New Roman" w:hAnsi="Times New Roman"/>
          <w:sz w:val="20"/>
        </w:rPr>
        <w:t xml:space="preserve">On July 28, 2023, the Company entered into an agreement with the holder of the Term Loan, to defer a principal payment that was due on August 1, 2023 to extend the payment date to September 1, 2023. On August 31, 2023, the Company entered into an agreement to defer the principal payment that was due on August 1, 2023 to October 31, 2023. The agreement also changed the loan prepayment fee of 6% through from September 24, 2022 to September 24, 2023 to a loan prepayment fee of 5% from September 24, 2022 through December 31, 2023 and for the prepayment fee to be changed to 3% beyond December 31, 2023. On September 29, 2023, the Company terminated the Term Loan by paying off the loan balance of $34,209, accrued interest of $757, a prepayment fee of $1,710 and a loss on extinguishment of debt of $1,006, including the non-cash portion of $930. Loss on extinguishment of debt is part of Other expense on the unaudited condensed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2023 the Company entered into a Credit Agreement with a separate lender which provided a Senior Secured Delayed Draw Term Loan Facility (Term Loan 2024) in an aggregate principal amount of up to $60.0 million which matures on September 29, 2028. Borrowings are made available in up to three tranches, the first of which is available upon closing of the agreement, which included committed equity funding of at least $75 million, and two follow on tranches of $7.5 million which become available before November 1, 2024 and February 1, 2025 and are dependent on upon achievement of revenue milestones of trailing twelve month revenues of $50.0 million and $70.0 million, respectively. The Term Loan 2024 bears interest equal to the sum of Term Secured Overnight Financing Rate plus 7.25% for each interest period which is measured monthly and is payable on the last day of each fiscal quarter. Through March 31, 2025, the Company has the ability to pay-in-kind up to 2% of the payable interest. The Term Loan 2024 requires a minimum level of cash of $3.0 million and certain revenue thresholds based upon trailing twelve month revenue results. The revenue covenant began to be measured on April 30, 2024. As of October 31, 2024, the Company was in compliance with both financial covenants.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2023, the Company drew the initial $45.0 million. In connection with the first draw, the Company incurred a 1% facility fee of the total available loan amount of $60.0 million upon the draw of the first tranche of $600 and legal fees of $1,753 for both the Company and the lender. The Company recognized the facility fee and legal fees as a discount of $1,765 to the Term Loan 2024 for the initial draw on the loan, and $588 as an Other long-term asset, for the remainder available to draw. Each of these will be amortized as interest expense over the term of the loan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2024, the Company determined that the revenue milestones related to the second tranche was not met and the third tranche were not probable of being achieved. As a result, the Company expensed the asset related to debt issuance costs and facility fees in the amount of $462.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draw of the first tranche, the Parent issued a warrant to the lender to purchase up to 256,410 shares of the Parents common units at an exercise price of $17.55 per share. The fair value of the warrant was $1,632 and was recognized as a debt discount and as a capital contribution, and the debt discount is amortized over the term of the loan to interest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long-term debt consisted of the following at: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747"/>
        <w:gridCol w:w="407"/>
        <w:gridCol w:w="160"/>
        <w:gridCol w:w="793"/>
        <w:gridCol w:w="162"/>
        <w:gridCol w:w="407"/>
        <w:gridCol w:w="140"/>
        <w:gridCol w:w="690"/>
        <w:gridCol w:w="168"/>
      </w:tblGrid>
      <w:tr>
        <w:trPr/>
        <w:tc>
          <w:tcPr>
            <w:tcW w:w="5747"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747"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95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October 31,</w:t>
              <w:br/>
              <w:t>2024</w:t>
            </w:r>
          </w:p>
        </w:tc>
        <w:tc>
          <w:tcPr>
            <w:tcW w:w="162"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br/>
              <w:t>2024</w:t>
            </w:r>
          </w:p>
        </w:tc>
        <w:tc>
          <w:tcPr>
            <w:tcW w:w="168" w:type="dxa"/>
            <w:tcBorders/>
            <w:vAlign w:val="bottom"/>
          </w:tcPr>
          <w:p>
            <w:pPr>
              <w:pStyle w:val="TableContents"/>
              <w:bidi w:val="0"/>
              <w:spacing w:before="0" w:after="283"/>
              <w:jc w:val="left"/>
              <w:rPr/>
            </w:pPr>
            <w:r>
              <w:rPr/>
              <w:t> </w:t>
            </w:r>
          </w:p>
        </w:tc>
      </w:tr>
      <w:tr>
        <w:trPr/>
        <w:tc>
          <w:tcPr>
            <w:tcW w:w="5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loans</w:t>
            </w:r>
          </w:p>
        </w:tc>
        <w:tc>
          <w:tcPr>
            <w:tcW w:w="40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793" w:type="dxa"/>
            <w:tcBorders/>
            <w:shd w:fill="CCEEFF" w:val="clear"/>
            <w:vAlign w:val="bottom"/>
          </w:tcPr>
          <w:p>
            <w:pPr>
              <w:pStyle w:val="TableContents"/>
              <w:bidi w:val="0"/>
              <w:spacing w:before="0" w:after="283"/>
              <w:jc w:val="right"/>
              <w:rPr/>
            </w:pPr>
            <w:r>
              <w:rPr/>
              <w:t>45,000</w:t>
            </w:r>
          </w:p>
        </w:tc>
        <w:tc>
          <w:tcPr>
            <w:tcW w:w="162"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45,000</w:t>
            </w:r>
          </w:p>
        </w:tc>
        <w:tc>
          <w:tcPr>
            <w:tcW w:w="168" w:type="dxa"/>
            <w:tcBorders/>
            <w:shd w:fill="CCEEFF" w:val="clear"/>
            <w:vAlign w:val="bottom"/>
          </w:tcPr>
          <w:p>
            <w:pPr>
              <w:pStyle w:val="TableContents"/>
              <w:bidi w:val="0"/>
              <w:spacing w:before="0" w:after="283"/>
              <w:jc w:val="left"/>
              <w:rPr/>
            </w:pPr>
            <w:r>
              <w:rPr/>
              <w:t> </w:t>
            </w:r>
          </w:p>
        </w:tc>
      </w:tr>
      <w:tr>
        <w:trPr/>
        <w:tc>
          <w:tcPr>
            <w:tcW w:w="574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paid-in-kind interest applied to term loan balance</w:t>
            </w:r>
          </w:p>
        </w:tc>
        <w:tc>
          <w:tcPr>
            <w:tcW w:w="40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1,008</w:t>
            </w:r>
          </w:p>
        </w:tc>
        <w:tc>
          <w:tcPr>
            <w:tcW w:w="162"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540</w:t>
            </w:r>
          </w:p>
        </w:tc>
        <w:tc>
          <w:tcPr>
            <w:tcW w:w="168" w:type="dxa"/>
            <w:tcBorders/>
            <w:vAlign w:val="bottom"/>
          </w:tcPr>
          <w:p>
            <w:pPr>
              <w:pStyle w:val="TableContents"/>
              <w:bidi w:val="0"/>
              <w:spacing w:before="0" w:after="283"/>
              <w:jc w:val="left"/>
              <w:rPr/>
            </w:pPr>
            <w:r>
              <w:rPr/>
              <w:t> </w:t>
            </w:r>
          </w:p>
        </w:tc>
      </w:tr>
      <w:tr>
        <w:trPr/>
        <w:tc>
          <w:tcPr>
            <w:tcW w:w="5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unamortized debt issuance costs and debt discount</w:t>
            </w:r>
          </w:p>
        </w:tc>
        <w:tc>
          <w:tcPr>
            <w:tcW w:w="40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(2,665</w:t>
            </w:r>
          </w:p>
        </w:tc>
        <w:tc>
          <w:tcPr>
            <w:tcW w:w="162"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(3,004</w:t>
            </w:r>
          </w:p>
        </w:tc>
        <w:tc>
          <w:tcPr>
            <w:tcW w:w="168"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747"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40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793" w:type="dxa"/>
            <w:tcBorders/>
            <w:vAlign w:val="bottom"/>
          </w:tcPr>
          <w:p>
            <w:pPr>
              <w:pStyle w:val="TableContents"/>
              <w:bidi w:val="0"/>
              <w:spacing w:before="0" w:after="283"/>
              <w:jc w:val="right"/>
              <w:rPr/>
            </w:pPr>
            <w:r>
              <w:rPr/>
              <w:t>43,343</w:t>
            </w:r>
          </w:p>
        </w:tc>
        <w:tc>
          <w:tcPr>
            <w:tcW w:w="162"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42,536</w:t>
            </w:r>
          </w:p>
        </w:tc>
        <w:tc>
          <w:tcPr>
            <w:tcW w:w="168" w:type="dxa"/>
            <w:tcBorders/>
            <w:vAlign w:val="bottom"/>
          </w:tcPr>
          <w:p>
            <w:pPr>
              <w:pStyle w:val="TableContents"/>
              <w:bidi w:val="0"/>
              <w:spacing w:before="0" w:after="283"/>
              <w:jc w:val="left"/>
              <w:rPr/>
            </w:pPr>
            <w:r>
              <w:rPr/>
              <w:t> </w:t>
            </w:r>
          </w:p>
        </w:tc>
      </w:tr>
      <w:tr>
        <w:trPr/>
        <w:tc>
          <w:tcPr>
            <w:tcW w:w="5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of long term debt</w:t>
            </w:r>
          </w:p>
        </w:tc>
        <w:tc>
          <w:tcPr>
            <w:tcW w:w="40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747"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net</w:t>
            </w:r>
          </w:p>
        </w:tc>
        <w:tc>
          <w:tcPr>
            <w:tcW w:w="40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793" w:type="dxa"/>
            <w:tcBorders/>
            <w:vAlign w:val="bottom"/>
          </w:tcPr>
          <w:p>
            <w:pPr>
              <w:pStyle w:val="TableContents"/>
              <w:bidi w:val="0"/>
              <w:spacing w:before="0" w:after="283"/>
              <w:jc w:val="right"/>
              <w:rPr/>
            </w:pPr>
            <w:r>
              <w:rPr/>
              <w:t>43,343</w:t>
            </w:r>
          </w:p>
        </w:tc>
        <w:tc>
          <w:tcPr>
            <w:tcW w:w="162"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42,536</w:t>
            </w:r>
          </w:p>
        </w:tc>
        <w:tc>
          <w:tcPr>
            <w:tcW w:w="168" w:type="dxa"/>
            <w:tcBorders/>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October 31, 2024, the Company recognized expense of $3,779 related to the Term Loan 2024. Of this amount, $697 was related to amortization of the facility fee and legal fees, $164 was related to amortization of the debt discount recognized in connection with the warrant, $2,451 was cash interest expense and $467 was interest expense paid-in-kind and applied to the Term Loan 2024 balance as of October 31, 2024.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October 31, 2023, the Company recognized expense of $2,644 related to the Term Loan. Of this amount, $130 was related to amortization of the facility fee and legal fees, $83 was related to amortization of the debt discount recognized in connection with the warrant, $1,207 was cash interest expense and $1,224 was interest expense paid-in-kind prior to the extinguishment of the Term Loan. </w:t>
      </w:r>
    </w:p>
    <w:p>
      <w:pPr>
        <w:pStyle w:val="TextBody"/>
        <w:bidi w:val="0"/>
        <w:spacing w:before="240" w:after="0"/>
        <w:jc w:val="left"/>
        <w:rPr>
          <w:rFonts w:ascii="Times New Roman" w:hAnsi="Times New Roman"/>
          <w:b/>
          <w:sz w:val="20"/>
        </w:rPr>
      </w:pPr>
      <w:r>
        <w:rPr>
          <w:rFonts w:ascii="Times New Roman" w:hAnsi="Times New Roman"/>
          <w:b/>
          <w:sz w:val="20"/>
        </w:rPr>
        <w:t xml:space="preserve">8. Fair Value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fair value hierarchy for its classified assets and liabilities measured at fair value on a recurring basis as of October 31, 2024 and April 30, 2024.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3902"/>
        <w:gridCol w:w="438"/>
        <w:gridCol w:w="141"/>
        <w:gridCol w:w="694"/>
        <w:gridCol w:w="60"/>
        <w:gridCol w:w="438"/>
        <w:gridCol w:w="277"/>
        <w:gridCol w:w="278"/>
        <w:gridCol w:w="60"/>
        <w:gridCol w:w="438"/>
        <w:gridCol w:w="277"/>
        <w:gridCol w:w="277"/>
        <w:gridCol w:w="67"/>
      </w:tblGrid>
      <w:tr>
        <w:trPr/>
        <w:tc>
          <w:tcPr>
            <w:tcW w:w="3902"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02"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Level 1</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55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Level 2</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55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Level 3</w:t>
            </w:r>
          </w:p>
        </w:tc>
        <w:tc>
          <w:tcPr>
            <w:tcW w:w="67" w:type="dxa"/>
            <w:tcBorders/>
            <w:vAlign w:val="bottom"/>
          </w:tcPr>
          <w:p>
            <w:pPr>
              <w:pStyle w:val="TableContents"/>
              <w:bidi w:val="0"/>
              <w:spacing w:before="0" w:after="283"/>
              <w:jc w:val="left"/>
              <w:rPr/>
            </w:pPr>
            <w:r>
              <w:rPr/>
              <w:t> </w:t>
            </w:r>
          </w:p>
        </w:tc>
      </w:tr>
      <w:tr>
        <w:trPr/>
        <w:tc>
          <w:tcPr>
            <w:tcW w:w="3902"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October 31, 2024</w:t>
            </w:r>
          </w:p>
        </w:tc>
        <w:tc>
          <w:tcPr>
            <w:tcW w:w="43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90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3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3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76,918</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2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27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3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2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3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77,252</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2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27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2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120" w:hRule="atLeast"/>
        </w:trPr>
        <w:tc>
          <w:tcPr>
            <w:tcW w:w="3902" w:type="dxa"/>
            <w:tcBorders/>
            <w:vAlign w:val="center"/>
          </w:tcPr>
          <w:p>
            <w:pPr>
              <w:pStyle w:val="TableContents"/>
              <w:bidi w:val="0"/>
              <w:spacing w:before="0" w:after="283"/>
              <w:jc w:val="left"/>
              <w:rPr>
                <w:sz w:val="4"/>
                <w:szCs w:val="4"/>
              </w:rPr>
            </w:pPr>
            <w:r>
              <w:rPr>
                <w:sz w:val="4"/>
                <w:szCs w:val="4"/>
              </w:rPr>
            </w:r>
          </w:p>
        </w:tc>
        <w:tc>
          <w:tcPr>
            <w:tcW w:w="1333" w:type="dxa"/>
            <w:gridSpan w:val="4"/>
            <w:tcBorders/>
            <w:vAlign w:val="center"/>
          </w:tcPr>
          <w:p>
            <w:pPr>
              <w:pStyle w:val="TableContents"/>
              <w:bidi w:val="0"/>
              <w:spacing w:before="0" w:after="283"/>
              <w:jc w:val="left"/>
              <w:rPr>
                <w:sz w:val="4"/>
                <w:szCs w:val="4"/>
              </w:rPr>
            </w:pPr>
            <w:r>
              <w:rPr>
                <w:sz w:val="4"/>
                <w:szCs w:val="4"/>
              </w:rPr>
            </w:r>
          </w:p>
        </w:tc>
        <w:tc>
          <w:tcPr>
            <w:tcW w:w="1053" w:type="dxa"/>
            <w:gridSpan w:val="4"/>
            <w:tcBorders/>
            <w:vAlign w:val="center"/>
          </w:tcPr>
          <w:p>
            <w:pPr>
              <w:pStyle w:val="TableContents"/>
              <w:bidi w:val="0"/>
              <w:spacing w:before="0" w:after="283"/>
              <w:jc w:val="left"/>
              <w:rPr>
                <w:sz w:val="4"/>
                <w:szCs w:val="4"/>
              </w:rPr>
            </w:pPr>
            <w:r>
              <w:rPr>
                <w:sz w:val="4"/>
                <w:szCs w:val="4"/>
              </w:rPr>
            </w:r>
          </w:p>
        </w:tc>
        <w:tc>
          <w:tcPr>
            <w:tcW w:w="1059" w:type="dxa"/>
            <w:gridSpan w:val="4"/>
            <w:tcBorders/>
            <w:vAlign w:val="center"/>
          </w:tcPr>
          <w:p>
            <w:pPr>
              <w:pStyle w:val="TableContents"/>
              <w:bidi w:val="0"/>
              <w:spacing w:before="0" w:after="283"/>
              <w:jc w:val="left"/>
              <w:rPr>
                <w:sz w:val="4"/>
                <w:szCs w:val="4"/>
              </w:rPr>
            </w:pPr>
            <w:r>
              <w:rPr>
                <w:sz w:val="4"/>
                <w:szCs w:val="4"/>
              </w:rPr>
            </w:r>
          </w:p>
        </w:tc>
      </w:tr>
      <w:tr>
        <w:trPr/>
        <w:tc>
          <w:tcPr>
            <w:tcW w:w="3902"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April 30, 2024</w:t>
            </w:r>
          </w:p>
        </w:tc>
        <w:tc>
          <w:tcPr>
            <w:tcW w:w="43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3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3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8,249</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2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27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3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2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3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8,583</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2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27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2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classifies its money market funds, which are valued based on quoted market prices in active markets with no valuation adjustment, as cash and cash equivalents within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2024 and April 30, 2024, the fair value of the long-term debt, net of discounts, approximated $45,710 and $43,870, respectively. The fair value of long-term debt was determined using quoted market prices, when available, or discounted cash flows based on various factors, including maturity schedules and current market rates. Long-term debt has been classified as Level 2 of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into or out of the Level 1, 2 or 3 fair value hierarchies during the six months ended October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9. Stockholders Deficit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5,000,000 shares of common stock authorized and 105,808 shares issued and outstanding with a par value of $0.01 as of October 31, 2024 and April 30, 2024. Each share of common stock is entitled to one vote. Contributions are recorded to additional paid-in capital. </w:t>
      </w:r>
    </w:p>
    <w:p>
      <w:pPr>
        <w:pStyle w:val="TextBody"/>
        <w:bidi w:val="0"/>
        <w:spacing w:before="240" w:after="0"/>
        <w:jc w:val="left"/>
        <w:rPr>
          <w:rFonts w:ascii="Times New Roman" w:hAnsi="Times New Roman"/>
          <w:b/>
          <w:sz w:val="20"/>
        </w:rPr>
      </w:pPr>
      <w:r>
        <w:rPr>
          <w:rFonts w:ascii="Times New Roman" w:hAnsi="Times New Roman"/>
          <w:b/>
          <w:sz w:val="20"/>
        </w:rPr>
        <w:t xml:space="preserve">10. Redeemable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May 2022, the Company amended and restated the Memorandum and Articles of Association of the Company, according to which the Companys existing share capital of 5,000,000 shares can upon the discretion of the Company be issued in the form of either common and/or preferred stock with a par value of $0.01 each. Preferred stock issued is considered non-voting and are subject to preferred dividend accrued daily with a set payment yield capped at 4.7%. The preferred dividend is declared upon the discretion of the directors of the Company on the interim basis and paid out on the annual basis upon discretion of the Company, provided there are funds lawfully available for distribution. No dividends were declared as of the six months ended October 31, 2024 and October 31, 2023 and the cumulative unpaid dividends were $5,706 and $2,915, respectively. In the event of liquidation, dissolution or winding up, assets will be applied first, to pay preferred stock dividends and second to pay issue price of preferred stock. Preferred stock may be converted to common stock at the option of the directors upon a successful public offering based on the criteria outlined by the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October 31, 2024 and October 31, 2023, the Company issued a total of 103,400 and 50,000 preferred shares, respectively, to the Parent for proceeds of $103,400 and $50,000,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is presented within mezzanine equity as it is redeemable for cash or other assets and is redeemable upon the occurrence of an event that is not solely within the control of the Company (specifically, an Initial Public Offering that is at the directors request). </w:t>
      </w:r>
    </w:p>
    <w:p>
      <w:pPr>
        <w:pStyle w:val="TextBody"/>
        <w:bidi w:val="0"/>
        <w:spacing w:before="240" w:after="0"/>
        <w:jc w:val="left"/>
        <w:rPr>
          <w:rFonts w:ascii="Times New Roman" w:hAnsi="Times New Roman"/>
          <w:b/>
          <w:sz w:val="20"/>
        </w:rPr>
      </w:pPr>
      <w:r>
        <w:rPr>
          <w:rFonts w:ascii="Times New Roman" w:hAnsi="Times New Roman"/>
          <w:b/>
          <w:sz w:val="20"/>
        </w:rPr>
        <w:t xml:space="preserve">11. Non-Controlling Interest </w:t>
      </w:r>
    </w:p>
    <w:p>
      <w:pPr>
        <w:pStyle w:val="TextBody"/>
        <w:bidi w:val="0"/>
        <w:spacing w:before="240" w:after="0"/>
        <w:jc w:val="left"/>
        <w:rPr>
          <w:rFonts w:ascii="Times New Roman" w:hAnsi="Times New Roman"/>
          <w:sz w:val="20"/>
        </w:rPr>
      </w:pPr>
      <w:r>
        <w:rPr>
          <w:rFonts w:ascii="Times New Roman" w:hAnsi="Times New Roman"/>
          <w:sz w:val="20"/>
        </w:rPr>
        <w:t xml:space="preserve">In July 2024, West Affum Holdings Designated Activity Company (the DAC), a subsidiary of the Company, received a $17,100 investment from a third party (the Investor) in exchange for shares. The DAC sold the Investor 171 Class A Redeemable Ordinary Shares of the DAC at a price per share equal to $100,000 for an aggregate cash purchase price of $17,100. The Company allocates net income (loss) of the consolidated subsidiary to the Investor based on their proportional ownership. Concurrently with the execution and delivery of this agreement, the Company entered into an agreement with the Investor and the Parent wherein, at the discretion of the Investor, the DAC Class A redeemable ordinary shares (Class A Redeemable Ordinary Shares) held by the Investor can be exchanged into common shares of the Company, and subsequently exchanged into class A common units of the Parent (Class A Common Units). The exchange ratio is calculated based on the DAC price per share of $100,000 and the Class A Common Unit price of $14.67 as of July 2024 which allows the Investor to exchange 171 DAC Class A Redeemable Ordinary Shares into 1,165,644.17 Class A Common Units of the Parent. </w:t>
      </w:r>
    </w:p>
    <w:p>
      <w:pPr>
        <w:pStyle w:val="TextBody"/>
        <w:bidi w:val="0"/>
        <w:spacing w:before="240" w:after="0"/>
        <w:jc w:val="left"/>
        <w:rPr>
          <w:rFonts w:ascii="Times New Roman" w:hAnsi="Times New Roman"/>
          <w:sz w:val="20"/>
        </w:rPr>
      </w:pPr>
      <w:r>
        <w:rPr>
          <w:rFonts w:ascii="Times New Roman" w:hAnsi="Times New Roman"/>
          <w:sz w:val="20"/>
        </w:rPr>
        <w:t xml:space="preserve">There are no freestanding features requiring recognition or embedded features requiring bifurcation and there is no redemption feature that is not solely within the Companys control. The agreement does not allow for a redemption for cash or other assets at a fixed or determinable price on a fixed or determinable date outside the Companys control at the option of the Investor. Any redemption is at the discretion of the DAC. Therefore, the non-controlling interest is classified within permanent equity as it does not meet the liability or mezzanine classification criteria. </w:t>
      </w:r>
    </w:p>
    <w:p>
      <w:pPr>
        <w:pStyle w:val="TextBody"/>
        <w:bidi w:val="0"/>
        <w:spacing w:before="240" w:after="0"/>
        <w:jc w:val="left"/>
        <w:rPr>
          <w:rFonts w:ascii="Times New Roman" w:hAnsi="Times New Roman"/>
          <w:b/>
          <w:sz w:val="20"/>
        </w:rPr>
      </w:pPr>
      <w:r>
        <w:rPr>
          <w:rFonts w:ascii="Times New Roman" w:hAnsi="Times New Roman"/>
          <w:b/>
          <w:sz w:val="20"/>
        </w:rPr>
        <w:t xml:space="preserve">12.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Certain employees and contractors of the Company have been granted equity incentive units (Incentive Units) of the Parent. The Parent has the ability to issue any number of additional Incentive Units at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discretion. The Incentive Units allow the holder to participate in the equity of the Parent subject to participation thresholds as defined by the Parent. Upon termination, the Company has the right but not the obligation to repurchase vested Incentive Units at fair market value within seven months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The Parent has issued Incentive Units to certain employees of the Company, which vest based on continued service on a straight-line basis over the applicable service periods. Any unvested Incentive Units are automatically forfeited upon a separation. Incentive Units do not expire and have no exercise price. Compensation cost of Incentive Units is estimated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2024 and April 30, 2024, total Incentive Units vested were 1,814,809 and 1,262,179, respectively. The total number of Incentive Units authorized is determined at the Parents discretion and is not limited.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Incentive Unit activity: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4069"/>
        <w:gridCol w:w="327"/>
        <w:gridCol w:w="60"/>
        <w:gridCol w:w="999"/>
        <w:gridCol w:w="157"/>
      </w:tblGrid>
      <w:tr>
        <w:trPr/>
        <w:tc>
          <w:tcPr>
            <w:tcW w:w="406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69"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05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Incentive</w:t>
              <w:br/>
              <w:t>Units</w:t>
            </w:r>
          </w:p>
        </w:tc>
        <w:tc>
          <w:tcPr>
            <w:tcW w:w="157" w:type="dxa"/>
            <w:tcBorders/>
            <w:vAlign w:val="bottom"/>
          </w:tcPr>
          <w:p>
            <w:pPr>
              <w:pStyle w:val="TableContents"/>
              <w:bidi w:val="0"/>
              <w:spacing w:before="0" w:after="283"/>
              <w:jc w:val="left"/>
              <w:rPr/>
            </w:pPr>
            <w:r>
              <w:rPr/>
              <w:t> </w:t>
            </w:r>
          </w:p>
        </w:tc>
      </w:tr>
      <w:tr>
        <w:trPr/>
        <w:tc>
          <w:tcPr>
            <w:tcW w:w="4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April 30, 2023</w:t>
            </w:r>
          </w:p>
        </w:tc>
        <w:tc>
          <w:tcPr>
            <w:tcW w:w="3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2,087,651</w:t>
            </w:r>
          </w:p>
        </w:tc>
        <w:tc>
          <w:tcPr>
            <w:tcW w:w="157" w:type="dxa"/>
            <w:tcBorders/>
            <w:shd w:fill="CCEEFF" w:val="clear"/>
            <w:vAlign w:val="bottom"/>
          </w:tcPr>
          <w:p>
            <w:pPr>
              <w:pStyle w:val="TableContents"/>
              <w:bidi w:val="0"/>
              <w:spacing w:before="0" w:after="283"/>
              <w:jc w:val="left"/>
              <w:rPr/>
            </w:pPr>
            <w:r>
              <w:rPr/>
              <w:t> </w:t>
            </w:r>
          </w:p>
        </w:tc>
      </w:tr>
      <w:tr>
        <w:trPr/>
        <w:tc>
          <w:tcPr>
            <w:tcW w:w="406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110,000</w:t>
            </w:r>
          </w:p>
        </w:tc>
        <w:tc>
          <w:tcPr>
            <w:tcW w:w="157" w:type="dxa"/>
            <w:tcBorders/>
            <w:vAlign w:val="bottom"/>
          </w:tcPr>
          <w:p>
            <w:pPr>
              <w:pStyle w:val="TableContents"/>
              <w:bidi w:val="0"/>
              <w:spacing w:before="0" w:after="283"/>
              <w:jc w:val="left"/>
              <w:rPr/>
            </w:pPr>
            <w:r>
              <w:rPr/>
              <w:t> </w:t>
            </w:r>
          </w:p>
        </w:tc>
      </w:tr>
      <w:tr>
        <w:trPr/>
        <w:tc>
          <w:tcPr>
            <w:tcW w:w="4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 repurchased</w:t>
            </w:r>
          </w:p>
        </w:tc>
        <w:tc>
          <w:tcPr>
            <w:tcW w:w="3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(51,800</w:t>
            </w:r>
          </w:p>
        </w:tc>
        <w:tc>
          <w:tcPr>
            <w:tcW w:w="157" w:type="dxa"/>
            <w:tcBorders/>
            <w:shd w:fill="CCEEFF" w:val="clear"/>
            <w:vAlign w:val="bottom"/>
          </w:tcPr>
          <w:p>
            <w:pPr>
              <w:pStyle w:val="TableContents"/>
              <w:bidi w:val="0"/>
              <w:spacing w:before="0" w:after="283"/>
              <w:jc w:val="left"/>
              <w:rPr/>
            </w:pPr>
            <w:r>
              <w:rPr/>
              <w:t>) </w:t>
            </w:r>
          </w:p>
        </w:tc>
      </w:tr>
      <w:tr>
        <w:trPr/>
        <w:tc>
          <w:tcPr>
            <w:tcW w:w="406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06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October 31, 2023</w:t>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2,145,851</w:t>
            </w:r>
          </w:p>
        </w:tc>
        <w:tc>
          <w:tcPr>
            <w:tcW w:w="157" w:type="dxa"/>
            <w:tcBorders/>
            <w:vAlign w:val="bottom"/>
          </w:tcPr>
          <w:p>
            <w:pPr>
              <w:pStyle w:val="TableContents"/>
              <w:bidi w:val="0"/>
              <w:spacing w:before="0" w:after="283"/>
              <w:jc w:val="left"/>
              <w:rPr/>
            </w:pPr>
            <w:r>
              <w:rPr/>
              <w:t> </w:t>
            </w:r>
          </w:p>
        </w:tc>
      </w:tr>
      <w:tr>
        <w:trPr/>
        <w:tc>
          <w:tcPr>
            <w:tcW w:w="406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April 30, 2024</w:t>
            </w:r>
          </w:p>
        </w:tc>
        <w:tc>
          <w:tcPr>
            <w:tcW w:w="3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2,130,143</w:t>
            </w:r>
          </w:p>
        </w:tc>
        <w:tc>
          <w:tcPr>
            <w:tcW w:w="157" w:type="dxa"/>
            <w:tcBorders/>
            <w:shd w:fill="CCEEFF" w:val="clear"/>
            <w:vAlign w:val="bottom"/>
          </w:tcPr>
          <w:p>
            <w:pPr>
              <w:pStyle w:val="TableContents"/>
              <w:bidi w:val="0"/>
              <w:spacing w:before="0" w:after="283"/>
              <w:jc w:val="left"/>
              <w:rPr/>
            </w:pPr>
            <w:r>
              <w:rPr/>
              <w:t> </w:t>
            </w:r>
          </w:p>
        </w:tc>
      </w:tr>
      <w:tr>
        <w:trPr/>
        <w:tc>
          <w:tcPr>
            <w:tcW w:w="406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1,121,599</w:t>
            </w:r>
          </w:p>
        </w:tc>
        <w:tc>
          <w:tcPr>
            <w:tcW w:w="157" w:type="dxa"/>
            <w:tcBorders/>
            <w:vAlign w:val="bottom"/>
          </w:tcPr>
          <w:p>
            <w:pPr>
              <w:pStyle w:val="TableContents"/>
              <w:bidi w:val="0"/>
              <w:spacing w:before="0" w:after="283"/>
              <w:jc w:val="left"/>
              <w:rPr/>
            </w:pPr>
            <w:r>
              <w:rPr/>
              <w:t> </w:t>
            </w:r>
          </w:p>
        </w:tc>
      </w:tr>
      <w:tr>
        <w:trPr/>
        <w:tc>
          <w:tcPr>
            <w:tcW w:w="4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 repurchased</w:t>
            </w:r>
          </w:p>
        </w:tc>
        <w:tc>
          <w:tcPr>
            <w:tcW w:w="3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(141,319</w:t>
            </w:r>
          </w:p>
        </w:tc>
        <w:tc>
          <w:tcPr>
            <w:tcW w:w="157" w:type="dxa"/>
            <w:tcBorders/>
            <w:shd w:fill="CCEEFF" w:val="clear"/>
            <w:vAlign w:val="bottom"/>
          </w:tcPr>
          <w:p>
            <w:pPr>
              <w:pStyle w:val="TableContents"/>
              <w:bidi w:val="0"/>
              <w:spacing w:before="0" w:after="283"/>
              <w:jc w:val="left"/>
              <w:rPr/>
            </w:pPr>
            <w:r>
              <w:rPr/>
              <w:t>) </w:t>
            </w:r>
          </w:p>
        </w:tc>
      </w:tr>
      <w:tr>
        <w:trPr/>
        <w:tc>
          <w:tcPr>
            <w:tcW w:w="406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06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October 31, 2024</w:t>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3,110,423</w:t>
            </w:r>
          </w:p>
        </w:tc>
        <w:tc>
          <w:tcPr>
            <w:tcW w:w="157" w:type="dxa"/>
            <w:tcBorders/>
            <w:vAlign w:val="bottom"/>
          </w:tcPr>
          <w:p>
            <w:pPr>
              <w:pStyle w:val="TableContents"/>
              <w:bidi w:val="0"/>
              <w:spacing w:before="0" w:after="283"/>
              <w:jc w:val="left"/>
              <w:rPr/>
            </w:pPr>
            <w:r>
              <w:rPr/>
              <w:t> </w:t>
            </w:r>
          </w:p>
        </w:tc>
      </w:tr>
      <w:tr>
        <w:trPr/>
        <w:tc>
          <w:tcPr>
            <w:tcW w:w="406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stock-based compensation in the following expense categories of its unaudited interim condensed consolidated statements of operations and comprehensive loss: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5137"/>
        <w:gridCol w:w="416"/>
        <w:gridCol w:w="141"/>
        <w:gridCol w:w="569"/>
        <w:gridCol w:w="60"/>
        <w:gridCol w:w="416"/>
        <w:gridCol w:w="141"/>
        <w:gridCol w:w="402"/>
        <w:gridCol w:w="65"/>
      </w:tblGrid>
      <w:tr>
        <w:trPr/>
        <w:tc>
          <w:tcPr>
            <w:tcW w:w="5137"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37"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729"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Six Months Ended</w:t>
              <w:br/>
              <w:t>October 31,</w:t>
            </w:r>
          </w:p>
        </w:tc>
        <w:tc>
          <w:tcPr>
            <w:tcW w:w="65" w:type="dxa"/>
            <w:tcBorders/>
            <w:vAlign w:val="bottom"/>
          </w:tcPr>
          <w:p>
            <w:pPr>
              <w:pStyle w:val="TableContents"/>
              <w:bidi w:val="0"/>
              <w:spacing w:before="0" w:after="283"/>
              <w:jc w:val="left"/>
              <w:rPr/>
            </w:pPr>
            <w:r>
              <w:rPr/>
              <w:t> </w:t>
            </w:r>
          </w:p>
        </w:tc>
      </w:tr>
      <w:tr>
        <w:trPr/>
        <w:tc>
          <w:tcPr>
            <w:tcW w:w="5137"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54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65" w:type="dxa"/>
            <w:tcBorders/>
            <w:vAlign w:val="bottom"/>
          </w:tcPr>
          <w:p>
            <w:pPr>
              <w:pStyle w:val="TableContents"/>
              <w:bidi w:val="0"/>
              <w:spacing w:before="0" w:after="283"/>
              <w:jc w:val="left"/>
              <w:rPr/>
            </w:pPr>
            <w:r>
              <w:rPr/>
              <w:t> </w:t>
            </w:r>
          </w:p>
        </w:tc>
      </w:tr>
      <w:tr>
        <w:trPr/>
        <w:tc>
          <w:tcPr>
            <w:tcW w:w="5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402" w:type="dxa"/>
            <w:tcBorders/>
            <w:shd w:fill="CCEEFF" w:val="clear"/>
            <w:vAlign w:val="bottom"/>
          </w:tcPr>
          <w:p>
            <w:pPr>
              <w:pStyle w:val="TableContents"/>
              <w:bidi w:val="0"/>
              <w:spacing w:before="0" w:after="283"/>
              <w:jc w:val="right"/>
              <w:rPr/>
            </w:pPr>
            <w:r>
              <w:rPr/>
              <w:t>87</w:t>
            </w:r>
          </w:p>
        </w:tc>
        <w:tc>
          <w:tcPr>
            <w:tcW w:w="65" w:type="dxa"/>
            <w:tcBorders/>
            <w:shd w:fill="CCEEFF" w:val="clear"/>
            <w:vAlign w:val="bottom"/>
          </w:tcPr>
          <w:p>
            <w:pPr>
              <w:pStyle w:val="TableContents"/>
              <w:bidi w:val="0"/>
              <w:spacing w:before="0" w:after="283"/>
              <w:jc w:val="left"/>
              <w:rPr/>
            </w:pPr>
            <w:r>
              <w:rPr/>
              <w:t> </w:t>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1,411</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640</w:t>
            </w:r>
          </w:p>
        </w:tc>
        <w:tc>
          <w:tcPr>
            <w:tcW w:w="65" w:type="dxa"/>
            <w:tcBorders/>
            <w:vAlign w:val="bottom"/>
          </w:tcPr>
          <w:p>
            <w:pPr>
              <w:pStyle w:val="TableContents"/>
              <w:bidi w:val="0"/>
              <w:spacing w:before="0" w:after="283"/>
              <w:jc w:val="left"/>
              <w:rPr/>
            </w:pPr>
            <w:r>
              <w:rPr/>
              <w:t> </w:t>
            </w:r>
          </w:p>
        </w:tc>
      </w:tr>
      <w:tr>
        <w:trPr/>
        <w:tc>
          <w:tcPr>
            <w:tcW w:w="5137"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40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1,499</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402" w:type="dxa"/>
            <w:tcBorders/>
            <w:shd w:fill="CCEEFF" w:val="clear"/>
            <w:vAlign w:val="bottom"/>
          </w:tcPr>
          <w:p>
            <w:pPr>
              <w:pStyle w:val="TableContents"/>
              <w:bidi w:val="0"/>
              <w:spacing w:before="0" w:after="283"/>
              <w:jc w:val="right"/>
              <w:rPr/>
            </w:pPr>
            <w:r>
              <w:rPr/>
              <w:t>727</w:t>
            </w:r>
          </w:p>
        </w:tc>
        <w:tc>
          <w:tcPr>
            <w:tcW w:w="65" w:type="dxa"/>
            <w:tcBorders/>
            <w:shd w:fill="CCEEFF" w:val="clear"/>
            <w:vAlign w:val="bottom"/>
          </w:tcPr>
          <w:p>
            <w:pPr>
              <w:pStyle w:val="TableContents"/>
              <w:bidi w:val="0"/>
              <w:spacing w:before="0" w:after="283"/>
              <w:jc w:val="left"/>
              <w:rPr/>
            </w:pPr>
            <w:r>
              <w:rPr/>
              <w:t> </w:t>
            </w:r>
          </w:p>
        </w:tc>
      </w:tr>
      <w:tr>
        <w:trPr/>
        <w:tc>
          <w:tcPr>
            <w:tcW w:w="5137"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40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October 31, 2024 and April 30, 2024, total unvested Incentive Units were 1,295,614 and 867,963,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2024, unrecognized compensation cost for outstanding Incentive Units was $2,833, with the weighted-average period over which this cost is expected to be recognized at 2.89 years. As of April 30, 2024, unrecognized compensation cost for outstanding Incentive Units was $3,389, with the weighted-average period over which this cost is expected to be recognized at 3.18 years.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compensation cost of the Incentive Units, the fair value for each Incentive Unit has been estimated at the date of grant using the Black-Scholes or PWERM models.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PWERM approach estimated its enterprise value. This method considered various exit scenarios including an initial public offering (the IPO Scenario), or staying private, and assigned a probability weight to each scenario. Using the PWERM, the enterprise value under each potential exit scenario and the timing of each scenario were weighted based on our estimated probability of occurrence for such scenario. The Companys equity values under the IPO Scenarios were each estimated using the market approach based on the valuation of comparable public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is no intrinsic value or exercise price associated with these Incentive Units as they are participation units rather than options. The weighted average significant assumptions used in these calculations were summarized as follows: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2948"/>
        <w:gridCol w:w="771"/>
        <w:gridCol w:w="178"/>
        <w:gridCol w:w="1148"/>
        <w:gridCol w:w="275"/>
        <w:gridCol w:w="677"/>
        <w:gridCol w:w="147"/>
        <w:gridCol w:w="925"/>
        <w:gridCol w:w="278"/>
      </w:tblGrid>
      <w:tr>
        <w:trPr/>
        <w:tc>
          <w:tcPr>
            <w:tcW w:w="2948" w:type="dxa"/>
            <w:tcBorders/>
            <w:vAlign w:val="center"/>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948"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left"/>
              <w:rPr/>
            </w:pPr>
            <w:r>
              <w:rPr/>
              <w:t>  </w:t>
            </w:r>
          </w:p>
        </w:tc>
        <w:tc>
          <w:tcPr>
            <w:tcW w:w="1326"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October 31, 2024</w:t>
            </w:r>
          </w:p>
        </w:tc>
        <w:tc>
          <w:tcPr>
            <w:tcW w:w="27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 2024</w:t>
            </w:r>
          </w:p>
        </w:tc>
        <w:tc>
          <w:tcPr>
            <w:tcW w:w="278" w:type="dxa"/>
            <w:tcBorders/>
            <w:vAlign w:val="bottom"/>
          </w:tcPr>
          <w:p>
            <w:pPr>
              <w:pStyle w:val="TableContents"/>
              <w:bidi w:val="0"/>
              <w:spacing w:before="0" w:after="283"/>
              <w:jc w:val="left"/>
              <w:rPr/>
            </w:pPr>
            <w:r>
              <w:rPr/>
              <w:t> </w:t>
            </w:r>
          </w:p>
        </w:tc>
      </w:tr>
      <w:tr>
        <w:trPr/>
        <w:tc>
          <w:tcPr>
            <w:tcW w:w="2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7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70.0</w:t>
            </w:r>
          </w:p>
        </w:tc>
        <w:tc>
          <w:tcPr>
            <w:tcW w:w="27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90.0</w:t>
            </w:r>
          </w:p>
        </w:tc>
        <w:tc>
          <w:tcPr>
            <w:tcW w:w="278" w:type="dxa"/>
            <w:tcBorders/>
            <w:shd w:fill="CCEEFF" w:val="clear"/>
            <w:vAlign w:val="bottom"/>
          </w:tcPr>
          <w:p>
            <w:pPr>
              <w:pStyle w:val="TableContents"/>
              <w:bidi w:val="0"/>
              <w:spacing w:before="0" w:after="283"/>
              <w:jc w:val="left"/>
              <w:rPr/>
            </w:pPr>
            <w:r>
              <w:rPr/>
              <w:t>% </w:t>
            </w:r>
          </w:p>
        </w:tc>
      </w:tr>
      <w:tr>
        <w:trPr/>
        <w:tc>
          <w:tcPr>
            <w:tcW w:w="2948" w:type="dxa"/>
            <w:tcBorders/>
          </w:tcPr>
          <w:p>
            <w:pPr>
              <w:pStyle w:val="TableContents"/>
              <w:bidi w:val="0"/>
              <w:spacing w:before="0" w:after="0"/>
              <w:jc w:val="left"/>
              <w:rPr>
                <w:rFonts w:ascii="Times New Roman" w:hAnsi="Times New Roman"/>
                <w:sz w:val="20"/>
              </w:rPr>
            </w:pPr>
            <w:r>
              <w:rPr>
                <w:rFonts w:ascii="Times New Roman" w:hAnsi="Times New Roman"/>
                <w:sz w:val="20"/>
              </w:rPr>
              <w:t>Expected time to liquidity</w:t>
            </w:r>
          </w:p>
        </w:tc>
        <w:tc>
          <w:tcPr>
            <w:tcW w:w="7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1.1 years</w:t>
            </w:r>
          </w:p>
        </w:tc>
        <w:tc>
          <w:tcPr>
            <w:tcW w:w="275" w:type="dxa"/>
            <w:tcBorders/>
            <w:vAlign w:val="bottom"/>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1.5 years</w:t>
            </w:r>
          </w:p>
        </w:tc>
        <w:tc>
          <w:tcPr>
            <w:tcW w:w="278" w:type="dxa"/>
            <w:tcBorders/>
            <w:vAlign w:val="bottom"/>
          </w:tcPr>
          <w:p>
            <w:pPr>
              <w:pStyle w:val="TableContents"/>
              <w:bidi w:val="0"/>
              <w:spacing w:before="0" w:after="283"/>
              <w:jc w:val="left"/>
              <w:rPr/>
            </w:pPr>
            <w:r>
              <w:rPr/>
              <w:t> </w:t>
            </w:r>
          </w:p>
        </w:tc>
      </w:tr>
      <w:tr>
        <w:trPr/>
        <w:tc>
          <w:tcPr>
            <w:tcW w:w="2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 free rate</w:t>
            </w:r>
          </w:p>
        </w:tc>
        <w:tc>
          <w:tcPr>
            <w:tcW w:w="7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4.58</w:t>
            </w:r>
          </w:p>
        </w:tc>
        <w:tc>
          <w:tcPr>
            <w:tcW w:w="27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4.04</w:t>
            </w:r>
          </w:p>
        </w:tc>
        <w:tc>
          <w:tcPr>
            <w:tcW w:w="278" w:type="dxa"/>
            <w:tcBorders/>
            <w:shd w:fill="CCEEFF" w:val="clear"/>
            <w:vAlign w:val="bottom"/>
          </w:tcPr>
          <w:p>
            <w:pPr>
              <w:pStyle w:val="TableContents"/>
              <w:bidi w:val="0"/>
              <w:spacing w:before="0" w:after="283"/>
              <w:jc w:val="left"/>
              <w:rPr/>
            </w:pPr>
            <w:r>
              <w:rPr/>
              <w:t>% </w:t>
            </w:r>
          </w:p>
        </w:tc>
      </w:tr>
      <w:tr>
        <w:trPr/>
        <w:tc>
          <w:tcPr>
            <w:tcW w:w="2948"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7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0.0</w:t>
            </w:r>
          </w:p>
        </w:tc>
        <w:tc>
          <w:tcPr>
            <w:tcW w:w="278" w:type="dxa"/>
            <w:tcBorders/>
            <w:vAlign w:val="bottom"/>
          </w:tcPr>
          <w:p>
            <w:pPr>
              <w:pStyle w:val="TableContents"/>
              <w:bidi w:val="0"/>
              <w:spacing w:before="0" w:after="283"/>
              <w:jc w:val="left"/>
              <w:rPr/>
            </w:pPr>
            <w:r>
              <w:rPr/>
              <w:t>% </w:t>
            </w:r>
          </w:p>
        </w:tc>
      </w:tr>
      <w:tr>
        <w:trPr/>
        <w:tc>
          <w:tcPr>
            <w:tcW w:w="2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w:t>
            </w:r>
          </w:p>
        </w:tc>
        <w:tc>
          <w:tcPr>
            <w:tcW w:w="7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2.60</w:t>
            </w:r>
          </w:p>
        </w:tc>
        <w:tc>
          <w:tcPr>
            <w:tcW w:w="27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5.27</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 date fair value of Incentive Units outstanding for the six months ended October 31, 2024 and for the year ended April 30, 2024 were $4.42 and $5.65, respectively. </w:t>
      </w:r>
    </w:p>
    <w:p>
      <w:pPr>
        <w:pStyle w:val="TextBody"/>
        <w:bidi w:val="0"/>
        <w:spacing w:before="240" w:after="0"/>
        <w:jc w:val="left"/>
        <w:rPr>
          <w:rFonts w:ascii="Times New Roman" w:hAnsi="Times New Roman"/>
          <w:sz w:val="20"/>
        </w:rPr>
      </w:pPr>
      <w:r>
        <w:rPr>
          <w:rFonts w:ascii="Times New Roman" w:hAnsi="Times New Roman"/>
          <w:sz w:val="20"/>
        </w:rPr>
        <w:t xml:space="preserve">Certain directors and advisors of the Company have also been granted 17,149 shares of restricted common shares and 25,562 shares of restricted class A common units of the Parent (RSA) between September 1, 2022 and October 9, 2024, with a vesting period of 3 years. As of October 31, 2024, 8,575 and 8,575 restricted common units and 0 and 25,562 of restricted class A common units were vested and unvested, respectively. As of April 30, 2024, 2,858 and 14,291 restricted common units were vested and unvested, respectively. All restricted class A common units were granted after April 30, 2024. Share-based compensation expense associated with restricted common units and restricted class A common units has historically been immaterial and recorded within selling, general and administrative expense. </w:t>
      </w:r>
    </w:p>
    <w:p>
      <w:pPr>
        <w:pStyle w:val="TextBody"/>
        <w:bidi w:val="0"/>
        <w:spacing w:before="240" w:after="0"/>
        <w:jc w:val="left"/>
        <w:rPr>
          <w:rFonts w:ascii="Times New Roman" w:hAnsi="Times New Roman"/>
          <w:b/>
          <w:sz w:val="20"/>
        </w:rPr>
      </w:pPr>
      <w:r>
        <w:rPr>
          <w:rFonts w:ascii="Times New Roman" w:hAnsi="Times New Roman"/>
          <w:b/>
          <w:sz w:val="20"/>
        </w:rPr>
        <w:t xml:space="preserve">13.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details of the provision for income taxes and effective tax rates: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2954"/>
        <w:gridCol w:w="516"/>
        <w:gridCol w:w="140"/>
        <w:gridCol w:w="440"/>
        <w:gridCol w:w="275"/>
        <w:gridCol w:w="429"/>
        <w:gridCol w:w="140"/>
        <w:gridCol w:w="440"/>
        <w:gridCol w:w="278"/>
      </w:tblGrid>
      <w:tr>
        <w:trPr/>
        <w:tc>
          <w:tcPr>
            <w:tcW w:w="2954"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954"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864"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Six Months Ended</w:t>
              <w:br/>
              <w:t>October 31,</w:t>
            </w:r>
          </w:p>
        </w:tc>
        <w:tc>
          <w:tcPr>
            <w:tcW w:w="278" w:type="dxa"/>
            <w:tcBorders/>
            <w:vAlign w:val="bottom"/>
          </w:tcPr>
          <w:p>
            <w:pPr>
              <w:pStyle w:val="TableContents"/>
              <w:bidi w:val="0"/>
              <w:spacing w:before="0" w:after="283"/>
              <w:jc w:val="left"/>
              <w:rPr/>
            </w:pPr>
            <w:r>
              <w:rPr/>
              <w:t> </w:t>
            </w:r>
          </w:p>
        </w:tc>
      </w:tr>
      <w:tr>
        <w:trPr/>
        <w:tc>
          <w:tcPr>
            <w:tcW w:w="2954"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27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278" w:type="dxa"/>
            <w:tcBorders/>
            <w:vAlign w:val="bottom"/>
          </w:tcPr>
          <w:p>
            <w:pPr>
              <w:pStyle w:val="TableContents"/>
              <w:bidi w:val="0"/>
              <w:spacing w:before="0" w:after="283"/>
              <w:jc w:val="left"/>
              <w:rPr/>
            </w:pPr>
            <w:r>
              <w:rPr/>
              <w:t> </w:t>
            </w:r>
          </w:p>
        </w:tc>
      </w:tr>
      <w:tr>
        <w:trPr/>
        <w:tc>
          <w:tcPr>
            <w:tcW w:w="2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5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37</w:t>
            </w:r>
          </w:p>
        </w:tc>
        <w:tc>
          <w:tcPr>
            <w:tcW w:w="278" w:type="dxa"/>
            <w:tcBorders/>
            <w:shd w:fill="CCEEFF" w:val="clear"/>
            <w:vAlign w:val="bottom"/>
          </w:tcPr>
          <w:p>
            <w:pPr>
              <w:pStyle w:val="TableContents"/>
              <w:bidi w:val="0"/>
              <w:spacing w:before="0" w:after="283"/>
              <w:jc w:val="left"/>
              <w:rPr/>
            </w:pPr>
            <w:r>
              <w:rPr/>
              <w:t> </w:t>
            </w:r>
          </w:p>
        </w:tc>
      </w:tr>
      <w:tr>
        <w:trPr/>
        <w:tc>
          <w:tcPr>
            <w:tcW w:w="2954" w:type="dxa"/>
            <w:tcBorders/>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5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0.03</w:t>
            </w:r>
          </w:p>
        </w:tc>
        <w:tc>
          <w:tcPr>
            <w:tcW w:w="27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0.06</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U.S. federal income tax as well as income tax in various states. Additionally, the Company consists of a Cayman Islands parent company with subsidiaries in U.S. and Ireland. Under the current laws of the Cayman Islands, the Company is not subject to tax on its income. The Company accounts for the provision for income taxes in accordance with ASC 740, Income Taxes, which requires an estimate of the annual effective tax rate for the full year to be applied to the interim period, taking into account year-to-date amounts and projected results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Our effective tax rate varies from the statutory Irish tax rate due to the effect of state income taxes and research and development credits. Our effective tax rate could fluctuate from quarter to quarter based on variations in the estimated and actual level of pre-tax income or loss by jurisdiction, changes in enacted tax laws and regulations, and changes in estimates regarding the realizability of deferred tax assets. As of October 31, 2024 and April 30, 2024, we provided a valuation allowance against our net deferred tax assets that we believe, based on the weight of available evidence, are not more likely than not to be realized. </w:t>
      </w:r>
    </w:p>
    <w:p>
      <w:pPr>
        <w:pStyle w:val="TextBody"/>
        <w:bidi w:val="0"/>
        <w:spacing w:before="240" w:after="0"/>
        <w:jc w:val="left"/>
        <w:rPr>
          <w:rFonts w:ascii="Times New Roman" w:hAnsi="Times New Roman"/>
          <w:b/>
          <w:sz w:val="20"/>
        </w:rPr>
      </w:pPr>
      <w:r>
        <w:rPr>
          <w:rFonts w:ascii="Times New Roman" w:hAnsi="Times New Roman"/>
          <w:b/>
          <w:sz w:val="20"/>
        </w:rPr>
        <w:t xml:space="preserve">14. Commitments and Contingencies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Company may become involved in litigation relating to claims arising from the ordinary course of business. The Company considers the likelihood of loss or impairment of an asset, or the incurrence of a liability, as well as the ability to reasonably estimate the amount of loss, in determining loss contingencies. An estimated loss contingency is accrued when information available prior to issuance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unaudited interim condensed consolidated financial statements indicates that it is probable that an asset has been impaired or a liability has been incurred at the date of the unaudited interim condensed consolidated financial statements, and the amount or range of loss can be reasonably estimated. Legal costs are expensed as incurred. Gain contingencies are not recognized until theyre realized or realizable.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there is no accrual of such amounts as of October 31, 2024 and April 30, 2024. The Company is unable to determine the maximum potential impact of these indemnifications on the future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Management believes that there are currently no other claims or actions pending against the Company where the ultimate disposition could have a material effect on the Companys results of operations, financial condition or cash flows. </w:t>
      </w:r>
    </w:p>
    <w:p>
      <w:pPr>
        <w:pStyle w:val="TextBody"/>
        <w:bidi w:val="0"/>
        <w:spacing w:before="240" w:after="0"/>
        <w:jc w:val="left"/>
        <w:rPr>
          <w:rFonts w:ascii="Times New Roman" w:hAnsi="Times New Roman"/>
          <w:b/>
          <w:sz w:val="20"/>
        </w:rPr>
      </w:pPr>
      <w:r>
        <w:rPr>
          <w:rFonts w:ascii="Times New Roman" w:hAnsi="Times New Roman"/>
          <w:b/>
          <w:sz w:val="20"/>
        </w:rPr>
        <w:t xml:space="preserve">15. Defined Contribution Plan </w:t>
      </w:r>
    </w:p>
    <w:p>
      <w:pPr>
        <w:pStyle w:val="TextBody"/>
        <w:bidi w:val="0"/>
        <w:spacing w:before="240" w:after="0"/>
        <w:jc w:val="left"/>
        <w:rPr>
          <w:rFonts w:ascii="Times New Roman" w:hAnsi="Times New Roman"/>
          <w:sz w:val="20"/>
        </w:rPr>
      </w:pPr>
      <w:r>
        <w:rPr>
          <w:rFonts w:ascii="Times New Roman" w:hAnsi="Times New Roman"/>
          <w:sz w:val="20"/>
        </w:rPr>
        <w:t xml:space="preserve">The Company sponsors a defined contribution retirement savings plan under Section 401(k) of the Internal Revenue Code of 1986, as amended (the 401(k) Plan), for its full-time employees, which covers all eligible employees in the United States. The 401(k) Plan provides for matching and discretionary contributions by the Company. For the six months ended October 31, 2024 and 2023, matching and discretionary contributions by the Company totaled $766 and $681,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16. Net Loss Per Share Attributable to Common Stockholder </w:t>
      </w:r>
    </w:p>
    <w:p>
      <w:pPr>
        <w:pStyle w:val="TextBody"/>
        <w:bidi w:val="0"/>
        <w:spacing w:before="240" w:after="0"/>
        <w:jc w:val="left"/>
        <w:rPr>
          <w:rFonts w:ascii="Times New Roman" w:hAnsi="Times New Roman"/>
          <w:sz w:val="20"/>
        </w:rPr>
      </w:pPr>
      <w:r>
        <w:rPr>
          <w:rFonts w:ascii="Times New Roman" w:hAnsi="Times New Roman"/>
          <w:sz w:val="20"/>
        </w:rPr>
        <w:t xml:space="preserve">Basic net loss per share attributable to the common stockholder is calculated by dividing net loss by the weighted average number of shares of common stock outstanding during the period and excludes any dilutive effects of employee stock-based awards. Diluted net loss per share attributable to the common stockholder is computed giving effect to all potentially dilutive shares of common stock, including common stock issuable upon vesting of stock-based payment awards. For the six months ended October 31, 2024 and 2023, the Company did not have any dilutive shares. For both periods presented, there is no difference in the number of shares used to compute basic and diluted shares outstanding due to the Companys net loss position. </w:t>
      </w:r>
    </w:p>
    <w:p>
      <w:pPr>
        <w:pStyle w:val="TextBody"/>
        <w:bidi w:val="0"/>
        <w:spacing w:before="240" w:after="0"/>
        <w:jc w:val="left"/>
        <w:rPr>
          <w:rFonts w:ascii="Times New Roman" w:hAnsi="Times New Roman"/>
          <w:sz w:val="20"/>
        </w:rPr>
      </w:pPr>
      <w:r>
        <w:rPr>
          <w:rFonts w:ascii="Times New Roman" w:hAnsi="Times New Roman"/>
          <w:sz w:val="20"/>
        </w:rPr>
        <w:t xml:space="preserve">Potentially anti-dilutive shares excluded from the calculation of diluted net loss per share for the periods ended October 31, 2024 and April 30, 2024 include 280,510 and 177,110 shares of redeemable preferred stock, respectively. Based on the conversion terms of the redeemable preferred stock and circumstances existing as of October 31, 2024 and April 30, 2024, the Company is unable to quantify the quantity of shares of common stock the redeemable preferred stock is convertible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computation of basic and diluted net loss per share attributable to the common stockholder: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48"/>
        <w:gridCol w:w="228"/>
        <w:gridCol w:w="140"/>
        <w:gridCol w:w="818"/>
        <w:gridCol w:w="155"/>
        <w:gridCol w:w="199"/>
        <w:gridCol w:w="140"/>
        <w:gridCol w:w="818"/>
        <w:gridCol w:w="159"/>
      </w:tblGrid>
      <w:tr>
        <w:trPr/>
        <w:tc>
          <w:tcPr>
            <w:tcW w:w="7548"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70"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w:t>
            </w:r>
          </w:p>
          <w:p>
            <w:pPr>
              <w:pStyle w:val="TableContents"/>
              <w:bidi w:val="0"/>
              <w:spacing w:before="0" w:after="0"/>
              <w:jc w:val="center"/>
              <w:rPr>
                <w:rFonts w:ascii="Times New Roman" w:hAnsi="Times New Roman"/>
                <w:b/>
                <w:sz w:val="16"/>
              </w:rPr>
            </w:pPr>
            <w:r>
              <w:rPr>
                <w:rFonts w:ascii="Times New Roman" w:hAnsi="Times New Roman"/>
                <w:b/>
                <w:sz w:val="16"/>
              </w:rPr>
              <w:t>Ended</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October 31,</w:t>
            </w:r>
          </w:p>
        </w:tc>
        <w:tc>
          <w:tcPr>
            <w:tcW w:w="159" w:type="dxa"/>
            <w:tcBorders/>
            <w:vAlign w:val="bottom"/>
          </w:tcPr>
          <w:p>
            <w:pPr>
              <w:pStyle w:val="TableContents"/>
              <w:bidi w:val="0"/>
              <w:spacing w:before="0" w:after="283"/>
              <w:jc w:val="left"/>
              <w:rPr/>
            </w:pPr>
            <w:r>
              <w:rPr/>
              <w:t> </w:t>
            </w:r>
          </w:p>
        </w:tc>
      </w:tr>
      <w:tr>
        <w:trPr/>
        <w:tc>
          <w:tcPr>
            <w:tcW w:w="754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58"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58"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59" w:type="dxa"/>
            <w:tcBorders/>
            <w:vAlign w:val="bottom"/>
          </w:tcPr>
          <w:p>
            <w:pPr>
              <w:pStyle w:val="TableContents"/>
              <w:bidi w:val="0"/>
              <w:spacing w:before="0" w:after="283"/>
              <w:jc w:val="left"/>
              <w:rPr/>
            </w:pPr>
            <w:r>
              <w:rPr/>
              <w:t> </w:t>
            </w:r>
          </w:p>
        </w:tc>
      </w:tr>
      <w:tr>
        <w:trPr/>
        <w:tc>
          <w:tcPr>
            <w:tcW w:w="75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West Affum Intermediate Holdings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(40,252</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(50,217</w:t>
            </w:r>
          </w:p>
        </w:tc>
        <w:tc>
          <w:tcPr>
            <w:tcW w:w="159" w:type="dxa"/>
            <w:tcBorders/>
            <w:vAlign w:val="bottom"/>
          </w:tcPr>
          <w:p>
            <w:pPr>
              <w:pStyle w:val="TableContents"/>
              <w:bidi w:val="0"/>
              <w:spacing w:before="0" w:after="283"/>
              <w:jc w:val="left"/>
              <w:rPr/>
            </w:pPr>
            <w:r>
              <w:rPr/>
              <w:t>) </w:t>
            </w:r>
          </w:p>
        </w:tc>
      </w:tr>
      <w:tr>
        <w:trPr/>
        <w:tc>
          <w:tcPr>
            <w:tcW w:w="7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Undeclared preferred dividends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(5,706</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(2,915</w:t>
            </w:r>
          </w:p>
        </w:tc>
        <w:tc>
          <w:tcPr>
            <w:tcW w:w="159" w:type="dxa"/>
            <w:tcBorders/>
            <w:shd w:fill="CCEEFF" w:val="clear"/>
            <w:vAlign w:val="bottom"/>
          </w:tcPr>
          <w:p>
            <w:pPr>
              <w:pStyle w:val="TableContents"/>
              <w:bidi w:val="0"/>
              <w:spacing w:before="0" w:after="283"/>
              <w:jc w:val="left"/>
              <w:rPr/>
            </w:pPr>
            <w:r>
              <w:rPr/>
              <w:t>) </w:t>
            </w:r>
          </w:p>
        </w:tc>
      </w:tr>
      <w:tr>
        <w:trPr/>
        <w:tc>
          <w:tcPr>
            <w:tcW w:w="754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(45,958</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(53,132</w:t>
            </w:r>
          </w:p>
        </w:tc>
        <w:tc>
          <w:tcPr>
            <w:tcW w:w="159" w:type="dxa"/>
            <w:tcBorders/>
            <w:vAlign w:val="bottom"/>
          </w:tcPr>
          <w:p>
            <w:pPr>
              <w:pStyle w:val="TableContents"/>
              <w:bidi w:val="0"/>
              <w:spacing w:before="0" w:after="283"/>
              <w:jc w:val="left"/>
              <w:rPr/>
            </w:pPr>
            <w:r>
              <w:rPr/>
              <w:t>) </w:t>
            </w:r>
          </w:p>
        </w:tc>
      </w:tr>
      <w:tr>
        <w:trPr/>
        <w:tc>
          <w:tcPr>
            <w:tcW w:w="754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105,808</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105,808</w:t>
            </w:r>
          </w:p>
        </w:tc>
        <w:tc>
          <w:tcPr>
            <w:tcW w:w="159" w:type="dxa"/>
            <w:tcBorders/>
            <w:shd w:fill="CCEEFF" w:val="clear"/>
            <w:vAlign w:val="bottom"/>
          </w:tcPr>
          <w:p>
            <w:pPr>
              <w:pStyle w:val="TableContents"/>
              <w:bidi w:val="0"/>
              <w:spacing w:before="0" w:after="283"/>
              <w:jc w:val="left"/>
              <w:rPr/>
            </w:pPr>
            <w:r>
              <w:rPr/>
              <w:t> </w:t>
            </w:r>
          </w:p>
        </w:tc>
      </w:tr>
      <w:tr>
        <w:trPr/>
        <w:tc>
          <w:tcPr>
            <w:tcW w:w="75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per share attributable to common stockholder</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(502</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Incentive Units issued and outstanding under an equity incentive plan that may be settled in common units of the Parent. The Parent also issued warrants in connection with the draws of the first and second tranches under the Term Loan and the first tranche under the Term Loan 2024 that may be settled in common units of the Parent. The Incentive Units and warrants are not considered participating securities as they do not participate in undistributed earnings of the Company and therefore, would not be included in the calculation of both the basic and diluted loss per share. </w:t>
      </w:r>
    </w:p>
    <w:p>
      <w:pPr>
        <w:pStyle w:val="TextBody"/>
        <w:bidi w:val="0"/>
        <w:spacing w:before="240" w:after="0"/>
        <w:jc w:val="left"/>
        <w:rPr>
          <w:rFonts w:ascii="Times New Roman" w:hAnsi="Times New Roman"/>
          <w:sz w:val="20"/>
        </w:rPr>
      </w:pPr>
      <w:r>
        <w:rPr>
          <w:rFonts w:ascii="Times New Roman" w:hAnsi="Times New Roman"/>
          <w:sz w:val="20"/>
        </w:rPr>
        <w:t xml:space="preserve">The non-controlling interest is in the form of Class A redeemable ordinary shares and can be exchanged into common shares of the Company and subsequently exchanged into Class A common units of the Parent. There is no redemption feature that is not solely within the Companys control, thus, the non-controlling interest is not entitled to receive dividends from the Company. The non-controlling interest is not considered to be participating securities and is not included in the calculation of basic or diluted loss per share.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common units and restricted Class A common units granted to certain directors represent equity interests in the Parent. Each of these classes of units are not considered to be participating securities and are not included in the calculation of basic or diluted loss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17. Subsequent Events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subsequent events through the date the unaudited interim condensed consolidated financial statements were available to be issued on January 17, 2025, and through February 26, 2025, the date the unaudited interim condensed consolidated financial statements were available to be reissued. </w:t>
      </w:r>
    </w:p>
    <w:p>
      <w:pPr>
        <w:pStyle w:val="TextBody"/>
        <w:bidi w:val="0"/>
        <w:spacing w:before="240" w:after="0"/>
        <w:jc w:val="left"/>
        <w:rPr>
          <w:rFonts w:ascii="Times New Roman" w:hAnsi="Times New Roman"/>
          <w:sz w:val="20"/>
        </w:rPr>
      </w:pPr>
      <w:r>
        <w:rPr>
          <w:rFonts w:ascii="Times New Roman" w:hAnsi="Times New Roman"/>
          <w:sz w:val="20"/>
        </w:rPr>
        <w:t xml:space="preserve">In February of 2025, the Company amended the Term Loan 2024 facility to adjust the revenue milestones applicable to the debt covenants and amend the ability to draw an additional $15.0 million under the third tranche through July 31, 2026 upon the achievement of revenue of at least $60.0 million for any twelve consecutive month period prior to the third tranche borrowing date. In addition, upon the funding of additional amounts under the third tranche, the Company will issue warrants equal to 10% of the amount funded. If the Company does not complete an initial public offering by July 31, 2025, the revenue milestones applicable to the debt covenants will revert to the original revenue milestones.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fin744414_17"/>
      <w:bookmarkEnd w:id="3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Stockholder of West Affum Intermediate Holdings Corp. </w:t>
      </w:r>
    </w:p>
    <w:p>
      <w:pPr>
        <w:pStyle w:val="TextBody"/>
        <w:bidi w:val="0"/>
        <w:spacing w:before="24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audited the accompanying consolidated balance sheets of West Affum Intermediate Holdings Corp. and its subsidiaries (the Company) as of April 30, 2024 and 2023, and the related consolidated statements of operations and comprehensive loss, of changes in redeemable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April 30, 2024 and 2023, and the results of its operations and its cash flows for the years then ended in conformity with accounting principles generally accepted in the United States of America. </w:t>
      </w:r>
    </w:p>
    <w:p>
      <w:pPr>
        <w:pStyle w:val="TextBody"/>
        <w:bidi w:val="0"/>
        <w:spacing w:before="240" w:after="0"/>
        <w:jc w:val="left"/>
        <w:rPr>
          <w:rFonts w:ascii="Times New Roman" w:hAnsi="Times New Roman"/>
          <w:i/>
          <w:sz w:val="20"/>
        </w:rPr>
      </w:pPr>
      <w:r>
        <w:rPr>
          <w:rFonts w:ascii="Times New Roman" w:hAnsi="Times New Roman"/>
          <w:i/>
          <w:sz w:val="20"/>
        </w:rPr>
        <w:t xml:space="preserve">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discussed in Note 1 to the consolidated financial statements, the Company has incurred negative operating cash flows and losses from operations since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 </w:t>
      </w:r>
    </w:p>
    <w:p>
      <w:pPr>
        <w:pStyle w:val="TextBody"/>
        <w:bidi w:val="0"/>
        <w:spacing w:before="24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24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of these consolidated financial statements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28, 2024, except with respect to the matters that raise substantial doubt about the Companys ability to continue as a going concern discussed in Note 1, as to which the date is December 11, 2024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40" w:name="fin744414_18"/>
      <w:bookmarkEnd w:id="40"/>
      <w:r>
        <w:rPr>
          <w:rFonts w:ascii="Times New Roman" w:hAnsi="Times New Roman"/>
          <w:b/>
          <w:sz w:val="20"/>
        </w:rPr>
        <w:t xml:space="preserve">CONSOLIDATED BALANCE SHEETS </w:t>
      </w:r>
    </w:p>
    <w:p>
      <w:pPr>
        <w:pStyle w:val="TextBody"/>
        <w:bidi w:val="0"/>
        <w:spacing w:before="240" w:after="0"/>
        <w:jc w:val="center"/>
        <w:rPr>
          <w:rFonts w:ascii="Times New Roman" w:hAnsi="Times New Roman"/>
          <w:b/>
          <w:sz w:val="20"/>
        </w:rPr>
      </w:pPr>
      <w:r>
        <w:rPr>
          <w:rFonts w:ascii="Times New Roman" w:hAnsi="Times New Roman"/>
          <w:b/>
          <w:sz w:val="20"/>
        </w:rPr>
        <w:t xml:space="preserve">April 30, 2024 and 2023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82"/>
        <w:gridCol w:w="394"/>
        <w:gridCol w:w="140"/>
        <w:gridCol w:w="890"/>
        <w:gridCol w:w="155"/>
        <w:gridCol w:w="355"/>
        <w:gridCol w:w="140"/>
        <w:gridCol w:w="890"/>
        <w:gridCol w:w="159"/>
      </w:tblGrid>
      <w:tr>
        <w:trPr/>
        <w:tc>
          <w:tcPr>
            <w:tcW w:w="7082"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2"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59" w:type="dxa"/>
            <w:tcBorders/>
            <w:vAlign w:val="bottom"/>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8,249</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14,810</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1,998</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Disposable medical equipment supplies</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3,290</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2,113</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1,370</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1,500</w:t>
            </w:r>
          </w:p>
        </w:tc>
        <w:tc>
          <w:tcPr>
            <w:tcW w:w="159" w:type="dxa"/>
            <w:tcBorders/>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14,907</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18,423</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7082"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2,286</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1,278</w:t>
            </w:r>
          </w:p>
        </w:tc>
        <w:tc>
          <w:tcPr>
            <w:tcW w:w="159" w:type="dxa"/>
            <w:tcBorders/>
            <w:vAlign w:val="bottom"/>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1,710</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2,642</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334</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512</w:t>
            </w:r>
          </w:p>
        </w:tc>
        <w:tc>
          <w:tcPr>
            <w:tcW w:w="159" w:type="dxa"/>
            <w:tcBorders/>
            <w:vAlign w:val="bottom"/>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26,105</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15,445</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607</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356</w:t>
            </w:r>
          </w:p>
        </w:tc>
        <w:tc>
          <w:tcPr>
            <w:tcW w:w="159" w:type="dxa"/>
            <w:tcBorders/>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45,949</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38,656</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120" w:hRule="atLeast"/>
        </w:trPr>
        <w:tc>
          <w:tcPr>
            <w:tcW w:w="7082"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7082"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Preferred Stock and Stockholders Deficit</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23,892</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6,162</w:t>
            </w:r>
          </w:p>
        </w:tc>
        <w:tc>
          <w:tcPr>
            <w:tcW w:w="159" w:type="dxa"/>
            <w:tcBorders/>
            <w:vAlign w:val="bottom"/>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9,079</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8,765</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1,366</w:t>
            </w:r>
          </w:p>
        </w:tc>
        <w:tc>
          <w:tcPr>
            <w:tcW w:w="159" w:type="dxa"/>
            <w:tcBorders/>
            <w:vAlign w:val="bottom"/>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current portion</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20,446</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32,971</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36,739</w:t>
            </w:r>
          </w:p>
        </w:tc>
        <w:tc>
          <w:tcPr>
            <w:tcW w:w="159" w:type="dxa"/>
            <w:tcBorders/>
            <w:vAlign w:val="bottom"/>
          </w:tcPr>
          <w:p>
            <w:pPr>
              <w:pStyle w:val="TableContents"/>
              <w:bidi w:val="0"/>
              <w:spacing w:before="0" w:after="283"/>
              <w:jc w:val="left"/>
              <w:rPr/>
            </w:pPr>
            <w:r>
              <w:rPr/>
              <w:t> </w:t>
            </w:r>
          </w:p>
        </w:tc>
      </w:tr>
      <w:tr>
        <w:trPr>
          <w:trHeight w:val="75" w:hRule="atLeast"/>
        </w:trPr>
        <w:tc>
          <w:tcPr>
            <w:tcW w:w="7082"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2,633</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63</w:t>
            </w:r>
          </w:p>
        </w:tc>
        <w:tc>
          <w:tcPr>
            <w:tcW w:w="159" w:type="dxa"/>
            <w:tcBorders/>
            <w:vAlign w:val="bottom"/>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42,536</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17,322</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78,216</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54,124</w:t>
            </w:r>
          </w:p>
        </w:tc>
        <w:tc>
          <w:tcPr>
            <w:tcW w:w="159" w:type="dxa"/>
            <w:tcBorders/>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7082"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13)</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7082"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Redeemable preferred stock, $0.01 par value; 5,000,000 shares authorized, 177,110 shares issued and outstanding</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177,110</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102,110</w:t>
            </w:r>
          </w:p>
        </w:tc>
        <w:tc>
          <w:tcPr>
            <w:tcW w:w="159" w:type="dxa"/>
            <w:tcBorders/>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7082"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7082"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5,000,000 shares authorized; 105,808 shares issued and outstanding</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197,057</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194,736</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(406,435</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(312,315</w:t>
            </w:r>
          </w:p>
        </w:tc>
        <w:tc>
          <w:tcPr>
            <w:tcW w:w="159" w:type="dxa"/>
            <w:tcBorders/>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(209,377</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(117,578</w:t>
            </w:r>
          </w:p>
        </w:tc>
        <w:tc>
          <w:tcPr>
            <w:tcW w:w="159" w:type="dxa"/>
            <w:tcBorders/>
            <w:shd w:fill="CCEEFF" w:val="clear"/>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8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deficit</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45,949</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38,656</w:t>
            </w:r>
          </w:p>
        </w:tc>
        <w:tc>
          <w:tcPr>
            <w:tcW w:w="159" w:type="dxa"/>
            <w:tcBorders/>
            <w:vAlign w:val="bottom"/>
          </w:tcPr>
          <w:p>
            <w:pPr>
              <w:pStyle w:val="TableContents"/>
              <w:bidi w:val="0"/>
              <w:spacing w:before="0" w:after="283"/>
              <w:jc w:val="left"/>
              <w:rPr/>
            </w:pPr>
            <w:r>
              <w:rPr/>
              <w:t> </w:t>
            </w:r>
          </w:p>
        </w:tc>
      </w:tr>
      <w:tr>
        <w:trPr/>
        <w:tc>
          <w:tcPr>
            <w:tcW w:w="7082"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41" w:name="fin744414_19"/>
      <w:bookmarkEnd w:id="41"/>
      <w:r>
        <w:rPr>
          <w:rFonts w:ascii="Times New Roman" w:hAnsi="Times New Roman"/>
          <w:b/>
          <w:sz w:val="20"/>
        </w:rPr>
        <w:t xml:space="preserve">CONSOLIDATED STATEMENTS OF OPERATIONS AND COMPREHENSIVE LOSS </w:t>
      </w:r>
    </w:p>
    <w:p>
      <w:pPr>
        <w:pStyle w:val="TextBody"/>
        <w:bidi w:val="0"/>
        <w:spacing w:before="240" w:after="0"/>
        <w:jc w:val="center"/>
        <w:rPr>
          <w:rFonts w:ascii="Times New Roman" w:hAnsi="Times New Roman"/>
          <w:b/>
          <w:sz w:val="20"/>
        </w:rPr>
      </w:pPr>
      <w:r>
        <w:rPr>
          <w:rFonts w:ascii="Times New Roman" w:hAnsi="Times New Roman"/>
          <w:b/>
          <w:sz w:val="20"/>
        </w:rPr>
        <w:t xml:space="preserve">Years Ended April 30, 2024 and 2023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38"/>
        <w:gridCol w:w="228"/>
        <w:gridCol w:w="140"/>
        <w:gridCol w:w="885"/>
        <w:gridCol w:w="165"/>
        <w:gridCol w:w="196"/>
        <w:gridCol w:w="140"/>
        <w:gridCol w:w="844"/>
        <w:gridCol w:w="169"/>
      </w:tblGrid>
      <w:tr>
        <w:trPr/>
        <w:tc>
          <w:tcPr>
            <w:tcW w:w="7438"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3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8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9" w:type="dxa"/>
            <w:tcBorders/>
            <w:vAlign w:val="bottom"/>
          </w:tcPr>
          <w:p>
            <w:pPr>
              <w:pStyle w:val="TableContents"/>
              <w:bidi w:val="0"/>
              <w:spacing w:before="0" w:after="283"/>
              <w:jc w:val="left"/>
              <w:rPr/>
            </w:pPr>
            <w:r>
              <w:rPr/>
              <w:t> </w:t>
            </w:r>
          </w:p>
        </w:tc>
      </w:tr>
      <w:tr>
        <w:trPr/>
        <w:tc>
          <w:tcPr>
            <w:tcW w:w="7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27,814</w:t>
            </w:r>
          </w:p>
        </w:tc>
        <w:tc>
          <w:tcPr>
            <w:tcW w:w="16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4" w:type="dxa"/>
            <w:tcBorders/>
            <w:shd w:fill="CCEEFF" w:val="clear"/>
            <w:vAlign w:val="bottom"/>
          </w:tcPr>
          <w:p>
            <w:pPr>
              <w:pStyle w:val="TableContents"/>
              <w:bidi w:val="0"/>
              <w:spacing w:before="0" w:after="283"/>
              <w:jc w:val="right"/>
              <w:rPr/>
            </w:pPr>
            <w:r>
              <w:rPr/>
              <w:t>7,630</w:t>
            </w:r>
          </w:p>
        </w:tc>
        <w:tc>
          <w:tcPr>
            <w:tcW w:w="169" w:type="dxa"/>
            <w:tcBorders/>
            <w:shd w:fill="CCEEFF" w:val="clear"/>
            <w:vAlign w:val="bottom"/>
          </w:tcPr>
          <w:p>
            <w:pPr>
              <w:pStyle w:val="TableContents"/>
              <w:bidi w:val="0"/>
              <w:spacing w:before="0" w:after="283"/>
              <w:jc w:val="left"/>
              <w:rPr/>
            </w:pPr>
            <w:r>
              <w:rPr/>
              <w:t> </w:t>
            </w:r>
          </w:p>
        </w:tc>
      </w:tr>
      <w:tr>
        <w:trPr/>
        <w:tc>
          <w:tcPr>
            <w:tcW w:w="7438"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27,452</w:t>
            </w:r>
          </w:p>
        </w:tc>
        <w:tc>
          <w:tcPr>
            <w:tcW w:w="1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18,281</w:t>
            </w:r>
          </w:p>
        </w:tc>
        <w:tc>
          <w:tcPr>
            <w:tcW w:w="169" w:type="dxa"/>
            <w:tcBorders/>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362</w:t>
            </w:r>
          </w:p>
        </w:tc>
        <w:tc>
          <w:tcPr>
            <w:tcW w:w="16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(10,651</w:t>
            </w:r>
          </w:p>
        </w:tc>
        <w:tc>
          <w:tcPr>
            <w:tcW w:w="169" w:type="dxa"/>
            <w:tcBorders/>
            <w:shd w:fill="CCEEFF" w:val="clear"/>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4"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costs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15,490</w:t>
            </w:r>
          </w:p>
        </w:tc>
        <w:tc>
          <w:tcPr>
            <w:tcW w:w="16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15,756</w:t>
            </w:r>
          </w:p>
        </w:tc>
        <w:tc>
          <w:tcPr>
            <w:tcW w:w="169" w:type="dxa"/>
            <w:tcBorders/>
            <w:shd w:fill="CCEEFF" w:val="clear"/>
            <w:vAlign w:val="bottom"/>
          </w:tcPr>
          <w:p>
            <w:pPr>
              <w:pStyle w:val="TableContents"/>
              <w:bidi w:val="0"/>
              <w:spacing w:before="0" w:after="283"/>
              <w:jc w:val="left"/>
              <w:rPr/>
            </w:pPr>
            <w:r>
              <w:rPr/>
              <w:t> </w:t>
            </w:r>
          </w:p>
        </w:tc>
      </w:tr>
      <w:tr>
        <w:trPr/>
        <w:tc>
          <w:tcPr>
            <w:tcW w:w="743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69,935</w:t>
            </w:r>
          </w:p>
        </w:tc>
        <w:tc>
          <w:tcPr>
            <w:tcW w:w="1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54,014</w:t>
            </w:r>
          </w:p>
        </w:tc>
        <w:tc>
          <w:tcPr>
            <w:tcW w:w="169" w:type="dxa"/>
            <w:tcBorders/>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85,425</w:t>
            </w:r>
          </w:p>
        </w:tc>
        <w:tc>
          <w:tcPr>
            <w:tcW w:w="16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69,770</w:t>
            </w:r>
          </w:p>
        </w:tc>
        <w:tc>
          <w:tcPr>
            <w:tcW w:w="169" w:type="dxa"/>
            <w:tcBorders/>
            <w:shd w:fill="CCEEFF" w:val="clear"/>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3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(85,063</w:t>
            </w:r>
          </w:p>
        </w:tc>
        <w:tc>
          <w:tcPr>
            <w:tcW w:w="1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(80,421</w:t>
            </w:r>
          </w:p>
        </w:tc>
        <w:tc>
          <w:tcPr>
            <w:tcW w:w="169" w:type="dxa"/>
            <w:tcBorders/>
            <w:vAlign w:val="bottom"/>
          </w:tcPr>
          <w:p>
            <w:pPr>
              <w:pStyle w:val="TableContents"/>
              <w:bidi w:val="0"/>
              <w:spacing w:before="0" w:after="283"/>
              <w:jc w:val="left"/>
              <w:rPr/>
            </w:pPr>
            <w:r>
              <w:rPr/>
              <w:t>) </w:t>
            </w:r>
          </w:p>
        </w:tc>
      </w:tr>
      <w:tr>
        <w:trPr/>
        <w:tc>
          <w:tcPr>
            <w:tcW w:w="7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43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6,230</w:t>
            </w:r>
          </w:p>
        </w:tc>
        <w:tc>
          <w:tcPr>
            <w:tcW w:w="1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5,629</w:t>
            </w:r>
          </w:p>
        </w:tc>
        <w:tc>
          <w:tcPr>
            <w:tcW w:w="169" w:type="dxa"/>
            <w:tcBorders/>
            <w:vAlign w:val="bottom"/>
          </w:tcPr>
          <w:p>
            <w:pPr>
              <w:pStyle w:val="TableContents"/>
              <w:bidi w:val="0"/>
              <w:spacing w:before="0" w:after="283"/>
              <w:jc w:val="left"/>
              <w:rPr/>
            </w:pPr>
            <w:r>
              <w:rPr/>
              <w:t> </w:t>
            </w:r>
          </w:p>
        </w:tc>
      </w:tr>
      <w:tr>
        <w:trPr/>
        <w:tc>
          <w:tcPr>
            <w:tcW w:w="7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2,803</w:t>
            </w:r>
          </w:p>
        </w:tc>
        <w:tc>
          <w:tcPr>
            <w:tcW w:w="16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(1,827</w:t>
            </w:r>
          </w:p>
        </w:tc>
        <w:tc>
          <w:tcPr>
            <w:tcW w:w="169" w:type="dxa"/>
            <w:tcBorders/>
            <w:shd w:fill="CCEEFF" w:val="clear"/>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38"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provision for income taxes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(94,096</w:t>
            </w:r>
          </w:p>
        </w:tc>
        <w:tc>
          <w:tcPr>
            <w:tcW w:w="1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(84,223</w:t>
            </w:r>
          </w:p>
        </w:tc>
        <w:tc>
          <w:tcPr>
            <w:tcW w:w="169" w:type="dxa"/>
            <w:tcBorders/>
            <w:vAlign w:val="bottom"/>
          </w:tcPr>
          <w:p>
            <w:pPr>
              <w:pStyle w:val="TableContents"/>
              <w:bidi w:val="0"/>
              <w:spacing w:before="0" w:after="283"/>
              <w:jc w:val="left"/>
              <w:rPr/>
            </w:pPr>
            <w:r>
              <w:rPr/>
              <w:t>) </w:t>
            </w:r>
          </w:p>
        </w:tc>
      </w:tr>
      <w:tr>
        <w:trPr/>
        <w:tc>
          <w:tcPr>
            <w:tcW w:w="7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24</w:t>
            </w:r>
          </w:p>
        </w:tc>
        <w:tc>
          <w:tcPr>
            <w:tcW w:w="16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15</w:t>
            </w:r>
          </w:p>
        </w:tc>
        <w:tc>
          <w:tcPr>
            <w:tcW w:w="169" w:type="dxa"/>
            <w:tcBorders/>
            <w:shd w:fill="CCEEFF" w:val="clear"/>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38"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(94,120</w:t>
            </w:r>
          </w:p>
        </w:tc>
        <w:tc>
          <w:tcPr>
            <w:tcW w:w="1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(84,238</w:t>
            </w:r>
          </w:p>
        </w:tc>
        <w:tc>
          <w:tcPr>
            <w:tcW w:w="169" w:type="dxa"/>
            <w:tcBorders/>
            <w:vAlign w:val="bottom"/>
          </w:tcPr>
          <w:p>
            <w:pPr>
              <w:pStyle w:val="TableContents"/>
              <w:bidi w:val="0"/>
              <w:spacing w:before="0" w:after="283"/>
              <w:jc w:val="left"/>
              <w:rPr/>
            </w:pPr>
            <w:r>
              <w:rPr/>
              <w:t>) </w:t>
            </w:r>
          </w:p>
        </w:tc>
      </w:tr>
      <w:tr>
        <w:trPr/>
        <w:tc>
          <w:tcPr>
            <w:tcW w:w="7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Undeclared preferred stock dividends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6,721</w:t>
            </w:r>
          </w:p>
        </w:tc>
        <w:tc>
          <w:tcPr>
            <w:tcW w:w="16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2,499</w:t>
            </w:r>
          </w:p>
        </w:tc>
        <w:tc>
          <w:tcPr>
            <w:tcW w:w="169" w:type="dxa"/>
            <w:tcBorders/>
            <w:shd w:fill="CCEEFF" w:val="clear"/>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38"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 basic and diluted</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(100,841</w:t>
            </w:r>
          </w:p>
        </w:tc>
        <w:tc>
          <w:tcPr>
            <w:tcW w:w="1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4" w:type="dxa"/>
            <w:tcBorders/>
            <w:vAlign w:val="bottom"/>
          </w:tcPr>
          <w:p>
            <w:pPr>
              <w:pStyle w:val="TableContents"/>
              <w:bidi w:val="0"/>
              <w:spacing w:before="0" w:after="283"/>
              <w:jc w:val="right"/>
              <w:rPr/>
            </w:pPr>
            <w:r>
              <w:rPr/>
              <w:t>(86,737</w:t>
            </w:r>
          </w:p>
        </w:tc>
        <w:tc>
          <w:tcPr>
            <w:tcW w:w="169" w:type="dxa"/>
            <w:tcBorders/>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rHeight w:val="75" w:hRule="atLeast"/>
        </w:trPr>
        <w:tc>
          <w:tcPr>
            <w:tcW w:w="7438" w:type="dxa"/>
            <w:tcBorders/>
            <w:vAlign w:val="center"/>
          </w:tcPr>
          <w:p>
            <w:pPr>
              <w:pStyle w:val="TableContents"/>
              <w:bidi w:val="0"/>
              <w:spacing w:before="0" w:after="283"/>
              <w:jc w:val="left"/>
              <w:rPr>
                <w:sz w:val="4"/>
                <w:szCs w:val="4"/>
              </w:rPr>
            </w:pPr>
            <w:r>
              <w:rPr>
                <w:sz w:val="4"/>
                <w:szCs w:val="4"/>
              </w:rPr>
            </w:r>
          </w:p>
        </w:tc>
        <w:tc>
          <w:tcPr>
            <w:tcW w:w="1418" w:type="dxa"/>
            <w:gridSpan w:val="4"/>
            <w:tcBorders/>
            <w:vAlign w:val="center"/>
          </w:tcPr>
          <w:p>
            <w:pPr>
              <w:pStyle w:val="TableContents"/>
              <w:bidi w:val="0"/>
              <w:spacing w:before="0" w:after="283"/>
              <w:jc w:val="left"/>
              <w:rPr>
                <w:sz w:val="4"/>
                <w:szCs w:val="4"/>
              </w:rPr>
            </w:pPr>
            <w:r>
              <w:rPr>
                <w:sz w:val="4"/>
                <w:szCs w:val="4"/>
              </w:rPr>
            </w:r>
          </w:p>
        </w:tc>
        <w:tc>
          <w:tcPr>
            <w:tcW w:w="1349" w:type="dxa"/>
            <w:gridSpan w:val="4"/>
            <w:tcBorders/>
            <w:vAlign w:val="center"/>
          </w:tcPr>
          <w:p>
            <w:pPr>
              <w:pStyle w:val="TableContents"/>
              <w:bidi w:val="0"/>
              <w:spacing w:before="0" w:after="283"/>
              <w:jc w:val="left"/>
              <w:rPr>
                <w:sz w:val="4"/>
                <w:szCs w:val="4"/>
              </w:rPr>
            </w:pPr>
            <w:r>
              <w:rPr>
                <w:sz w:val="4"/>
                <w:szCs w:val="4"/>
              </w:rPr>
            </w:r>
          </w:p>
        </w:tc>
      </w:tr>
      <w:tr>
        <w:trPr/>
        <w:tc>
          <w:tcPr>
            <w:tcW w:w="7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 basic and diluted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(953</w:t>
            </w:r>
          </w:p>
        </w:tc>
        <w:tc>
          <w:tcPr>
            <w:tcW w:w="16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4" w:type="dxa"/>
            <w:tcBorders/>
            <w:shd w:fill="CCEEFF" w:val="clear"/>
            <w:vAlign w:val="bottom"/>
          </w:tcPr>
          <w:p>
            <w:pPr>
              <w:pStyle w:val="TableContents"/>
              <w:bidi w:val="0"/>
              <w:spacing w:before="0" w:after="283"/>
              <w:jc w:val="right"/>
              <w:rPr/>
            </w:pPr>
            <w:r>
              <w:rPr/>
              <w:t>(820</w:t>
            </w:r>
          </w:p>
        </w:tc>
        <w:tc>
          <w:tcPr>
            <w:tcW w:w="169" w:type="dxa"/>
            <w:tcBorders/>
            <w:shd w:fill="CCEEFF" w:val="clear"/>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3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105,808</w:t>
            </w:r>
          </w:p>
        </w:tc>
        <w:tc>
          <w:tcPr>
            <w:tcW w:w="1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105,808</w:t>
            </w:r>
          </w:p>
        </w:tc>
        <w:tc>
          <w:tcPr>
            <w:tcW w:w="169" w:type="dxa"/>
            <w:tcBorders/>
            <w:vAlign w:val="bottom"/>
          </w:tcPr>
          <w:p>
            <w:pPr>
              <w:pStyle w:val="TableContents"/>
              <w:bidi w:val="0"/>
              <w:spacing w:before="0" w:after="283"/>
              <w:jc w:val="left"/>
              <w:rPr/>
            </w:pPr>
            <w:r>
              <w:rPr/>
              <w:t> </w:t>
            </w:r>
          </w:p>
        </w:tc>
      </w:tr>
      <w:tr>
        <w:trPr/>
        <w:tc>
          <w:tcPr>
            <w:tcW w:w="743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42" w:name="fin744414_20"/>
      <w:bookmarkEnd w:id="42"/>
      <w:r>
        <w:rPr>
          <w:rFonts w:ascii="Times New Roman" w:hAnsi="Times New Roman"/>
          <w:b/>
          <w:sz w:val="20"/>
        </w:rPr>
        <w:t xml:space="preserve">CONSOLIDATED STATEMENTS OF CHANGES IN REDEEMABLE PREFERRED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DEFICIT </w:t>
      </w:r>
    </w:p>
    <w:p>
      <w:pPr>
        <w:pStyle w:val="TextBody"/>
        <w:bidi w:val="0"/>
        <w:spacing w:before="240" w:after="0"/>
        <w:jc w:val="center"/>
        <w:rPr>
          <w:rFonts w:ascii="Times New Roman" w:hAnsi="Times New Roman"/>
          <w:b/>
          <w:sz w:val="20"/>
        </w:rPr>
      </w:pPr>
      <w:r>
        <w:rPr>
          <w:rFonts w:ascii="Times New Roman" w:hAnsi="Times New Roman"/>
          <w:b/>
          <w:sz w:val="20"/>
        </w:rPr>
        <w:t xml:space="preserve">Years Ended April 30, 2024 and 2023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8"/>
        <w:gridCol w:w="104"/>
        <w:gridCol w:w="60"/>
        <w:gridCol w:w="859"/>
        <w:gridCol w:w="60"/>
        <w:gridCol w:w="79"/>
        <w:gridCol w:w="140"/>
        <w:gridCol w:w="859"/>
        <w:gridCol w:w="79"/>
        <w:gridCol w:w="104"/>
        <w:gridCol w:w="60"/>
        <w:gridCol w:w="859"/>
        <w:gridCol w:w="60"/>
        <w:gridCol w:w="103"/>
        <w:gridCol w:w="302"/>
        <w:gridCol w:w="303"/>
        <w:gridCol w:w="60"/>
        <w:gridCol w:w="104"/>
        <w:gridCol w:w="140"/>
        <w:gridCol w:w="859"/>
        <w:gridCol w:w="167"/>
        <w:gridCol w:w="104"/>
        <w:gridCol w:w="140"/>
        <w:gridCol w:w="928"/>
        <w:gridCol w:w="167"/>
        <w:gridCol w:w="104"/>
        <w:gridCol w:w="140"/>
        <w:gridCol w:w="927"/>
        <w:gridCol w:w="176"/>
      </w:tblGrid>
      <w:tr>
        <w:trPr/>
        <w:tc>
          <w:tcPr>
            <w:tcW w:w="2158"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5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57"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Redeemable</w:t>
              <w:br/>
              <w:t>Preferred Stock</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87"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Common Stock</w:t>
            </w:r>
          </w:p>
        </w:tc>
        <w:tc>
          <w:tcPr>
            <w:tcW w:w="60" w:type="dxa"/>
            <w:tcBorders/>
            <w:vAlign w:val="bottom"/>
          </w:tcPr>
          <w:p>
            <w:pPr>
              <w:pStyle w:val="TableContents"/>
              <w:bidi w:val="0"/>
              <w:spacing w:before="0" w:after="283"/>
              <w:jc w:val="left"/>
              <w:rPr/>
            </w:pPr>
            <w:r>
              <w:rPr/>
              <w:t> </w:t>
            </w:r>
          </w:p>
        </w:tc>
        <w:tc>
          <w:tcPr>
            <w:tcW w:w="104" w:type="dxa"/>
            <w:vMerge w:val="restart"/>
            <w:tcBorders/>
            <w:vAlign w:val="bottom"/>
          </w:tcPr>
          <w:p>
            <w:pPr>
              <w:pStyle w:val="TableContents"/>
              <w:bidi w:val="0"/>
              <w:spacing w:before="0" w:after="283"/>
              <w:jc w:val="left"/>
              <w:rPr/>
            </w:pPr>
            <w:r>
              <w:rPr/>
              <w:t> </w:t>
            </w:r>
          </w:p>
        </w:tc>
        <w:tc>
          <w:tcPr>
            <w:tcW w:w="99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Paid-In</w:t>
              <w:br/>
              <w:t>Capital</w:t>
            </w:r>
          </w:p>
        </w:tc>
        <w:tc>
          <w:tcPr>
            <w:tcW w:w="167" w:type="dxa"/>
            <w:vMerge w:val="restart"/>
            <w:tcBorders/>
            <w:vAlign w:val="bottom"/>
          </w:tcPr>
          <w:p>
            <w:pPr>
              <w:pStyle w:val="TableContents"/>
              <w:bidi w:val="0"/>
              <w:spacing w:before="0" w:after="283"/>
              <w:jc w:val="left"/>
              <w:rPr/>
            </w:pPr>
            <w:r>
              <w:rPr/>
              <w:t> </w:t>
            </w:r>
          </w:p>
        </w:tc>
        <w:tc>
          <w:tcPr>
            <w:tcW w:w="104" w:type="dxa"/>
            <w:vMerge w:val="restart"/>
            <w:tcBorders/>
            <w:vAlign w:val="bottom"/>
          </w:tcPr>
          <w:p>
            <w:pPr>
              <w:pStyle w:val="TableContents"/>
              <w:bidi w:val="0"/>
              <w:spacing w:before="0" w:after="283"/>
              <w:jc w:val="left"/>
              <w:rPr/>
            </w:pPr>
            <w:r>
              <w:rPr/>
              <w:t> </w:t>
            </w:r>
          </w:p>
        </w:tc>
        <w:tc>
          <w:tcPr>
            <w:tcW w:w="1068" w:type="dxa"/>
            <w:gridSpan w:val="2"/>
            <w:vMerge w:val="restart"/>
            <w:tcBorders/>
            <w:vAlign w:val="bottom"/>
          </w:tcPr>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Accumulated</w:t>
              <w:br/>
              <w:t>Deficit</w:t>
            </w:r>
          </w:p>
        </w:tc>
        <w:tc>
          <w:tcPr>
            <w:tcW w:w="167" w:type="dxa"/>
            <w:vMerge w:val="restart"/>
            <w:tcBorders/>
            <w:vAlign w:val="bottom"/>
          </w:tcPr>
          <w:p>
            <w:pPr>
              <w:pStyle w:val="TableContents"/>
              <w:bidi w:val="0"/>
              <w:spacing w:before="0" w:after="283"/>
              <w:jc w:val="left"/>
              <w:rPr/>
            </w:pPr>
            <w:r>
              <w:rPr/>
              <w:t> </w:t>
            </w:r>
          </w:p>
        </w:tc>
        <w:tc>
          <w:tcPr>
            <w:tcW w:w="104" w:type="dxa"/>
            <w:vMerge w:val="restart"/>
            <w:tcBorders/>
            <w:vAlign w:val="bottom"/>
          </w:tcPr>
          <w:p>
            <w:pPr>
              <w:pStyle w:val="TableContents"/>
              <w:bidi w:val="0"/>
              <w:spacing w:before="0" w:after="283"/>
              <w:jc w:val="left"/>
              <w:rPr/>
            </w:pPr>
            <w:r>
              <w:rPr/>
              <w:t> </w:t>
            </w:r>
          </w:p>
        </w:tc>
        <w:tc>
          <w:tcPr>
            <w:tcW w:w="1067"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pBdr>
                <w:bottom w:val="single" w:sz="2" w:space="1" w:color="000000"/>
              </w:pBdr>
              <w:bidi w:val="0"/>
              <w:spacing w:before="0" w:after="20"/>
              <w:jc w:val="center"/>
              <w:rPr>
                <w:rFonts w:ascii="Times New Roman" w:hAnsi="Times New Roman"/>
                <w:b/>
                <w:sz w:val="16"/>
              </w:rPr>
            </w:pPr>
            <w:r>
              <w:rPr>
                <w:rFonts w:ascii="Times New Roman" w:hAnsi="Times New Roman"/>
                <w:b/>
                <w:sz w:val="16"/>
              </w:rPr>
              <w:t>Stockholders</w:t>
              <w:br/>
              <w:t>Deficit</w:t>
            </w:r>
          </w:p>
        </w:tc>
        <w:tc>
          <w:tcPr>
            <w:tcW w:w="176" w:type="dxa"/>
            <w:vMerge w:val="restart"/>
            <w:tcBorders/>
            <w:vAlign w:val="bottom"/>
          </w:tcPr>
          <w:p>
            <w:pPr>
              <w:pStyle w:val="TableContents"/>
              <w:bidi w:val="0"/>
              <w:spacing w:before="0" w:after="283"/>
              <w:jc w:val="left"/>
              <w:rPr/>
            </w:pPr>
            <w:r>
              <w:rPr/>
              <w:t> </w:t>
            </w:r>
          </w:p>
        </w:tc>
      </w:tr>
      <w:tr>
        <w:trPr/>
        <w:tc>
          <w:tcPr>
            <w:tcW w:w="215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Shares</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9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Amount</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Shares</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Amount</w:t>
            </w:r>
          </w:p>
        </w:tc>
        <w:tc>
          <w:tcPr>
            <w:tcW w:w="60" w:type="dxa"/>
            <w:tcBorders/>
            <w:vAlign w:val="bottom"/>
          </w:tcPr>
          <w:p>
            <w:pPr>
              <w:pStyle w:val="TableContents"/>
              <w:bidi w:val="0"/>
              <w:spacing w:before="0" w:after="283"/>
              <w:jc w:val="left"/>
              <w:rPr/>
            </w:pPr>
            <w:r>
              <w:rPr/>
              <w:t> </w:t>
            </w:r>
          </w:p>
        </w:tc>
        <w:tc>
          <w:tcPr>
            <w:tcW w:w="104" w:type="dxa"/>
            <w:vMerge w:val="continue"/>
            <w:tcBorders/>
            <w:vAlign w:val="bottom"/>
          </w:tcPr>
          <w:p>
            <w:pPr>
              <w:pStyle w:val="Normal"/>
              <w:bidi w:val="0"/>
              <w:jc w:val="left"/>
              <w:rPr/>
            </w:pPr>
            <w:r>
              <w:rPr/>
            </w:r>
          </w:p>
        </w:tc>
        <w:tc>
          <w:tcPr>
            <w:tcW w:w="999" w:type="dxa"/>
            <w:gridSpan w:val="2"/>
            <w:vMerge w:val="continue"/>
            <w:tcBorders/>
            <w:vAlign w:val="bottom"/>
          </w:tcPr>
          <w:p>
            <w:pPr>
              <w:pStyle w:val="Normal"/>
              <w:bidi w:val="0"/>
              <w:jc w:val="left"/>
              <w:rPr/>
            </w:pPr>
            <w:r>
              <w:rPr/>
            </w:r>
          </w:p>
        </w:tc>
        <w:tc>
          <w:tcPr>
            <w:tcW w:w="167" w:type="dxa"/>
            <w:vMerge w:val="continue"/>
            <w:tcBorders/>
            <w:vAlign w:val="bottom"/>
          </w:tcPr>
          <w:p>
            <w:pPr>
              <w:pStyle w:val="Normal"/>
              <w:bidi w:val="0"/>
              <w:jc w:val="left"/>
              <w:rPr/>
            </w:pPr>
            <w:r>
              <w:rPr/>
            </w:r>
          </w:p>
        </w:tc>
        <w:tc>
          <w:tcPr>
            <w:tcW w:w="104" w:type="dxa"/>
            <w:vMerge w:val="continue"/>
            <w:tcBorders/>
            <w:vAlign w:val="bottom"/>
          </w:tcPr>
          <w:p>
            <w:pPr>
              <w:pStyle w:val="Normal"/>
              <w:bidi w:val="0"/>
              <w:jc w:val="left"/>
              <w:rPr/>
            </w:pPr>
            <w:r>
              <w:rPr/>
            </w:r>
          </w:p>
        </w:tc>
        <w:tc>
          <w:tcPr>
            <w:tcW w:w="1068" w:type="dxa"/>
            <w:gridSpan w:val="2"/>
            <w:vMerge w:val="continue"/>
            <w:tcBorders/>
            <w:vAlign w:val="bottom"/>
          </w:tcPr>
          <w:p>
            <w:pPr>
              <w:pStyle w:val="Normal"/>
              <w:bidi w:val="0"/>
              <w:jc w:val="left"/>
              <w:rPr/>
            </w:pPr>
            <w:r>
              <w:rPr/>
            </w:r>
          </w:p>
        </w:tc>
        <w:tc>
          <w:tcPr>
            <w:tcW w:w="167" w:type="dxa"/>
            <w:vMerge w:val="continue"/>
            <w:tcBorders/>
            <w:vAlign w:val="bottom"/>
          </w:tcPr>
          <w:p>
            <w:pPr>
              <w:pStyle w:val="Normal"/>
              <w:bidi w:val="0"/>
              <w:jc w:val="left"/>
              <w:rPr/>
            </w:pPr>
            <w:r>
              <w:rPr/>
            </w:r>
          </w:p>
        </w:tc>
        <w:tc>
          <w:tcPr>
            <w:tcW w:w="104" w:type="dxa"/>
            <w:vMerge w:val="continue"/>
            <w:tcBorders/>
            <w:vAlign w:val="bottom"/>
          </w:tcPr>
          <w:p>
            <w:pPr>
              <w:pStyle w:val="Normal"/>
              <w:bidi w:val="0"/>
              <w:jc w:val="left"/>
              <w:rPr/>
            </w:pPr>
            <w:r>
              <w:rPr/>
            </w:r>
          </w:p>
        </w:tc>
        <w:tc>
          <w:tcPr>
            <w:tcW w:w="1067" w:type="dxa"/>
            <w:gridSpan w:val="2"/>
            <w:vMerge w:val="continue"/>
            <w:tcBorders/>
            <w:vAlign w:val="bottom"/>
          </w:tcPr>
          <w:p>
            <w:pPr>
              <w:pStyle w:val="Normal"/>
              <w:bidi w:val="0"/>
              <w:jc w:val="left"/>
              <w:rPr/>
            </w:pPr>
            <w:r>
              <w:rPr/>
            </w:r>
          </w:p>
        </w:tc>
        <w:tc>
          <w:tcPr>
            <w:tcW w:w="176" w:type="dxa"/>
            <w:vMerge w:val="continue"/>
            <w:tcBorders/>
            <w:vAlign w:val="bottom"/>
          </w:tcPr>
          <w:p>
            <w:pPr>
              <w:pStyle w:val="Normal"/>
              <w:bidi w:val="0"/>
              <w:jc w:val="left"/>
              <w:rPr/>
            </w:pPr>
            <w:r>
              <w:rPr/>
            </w:r>
          </w:p>
        </w:tc>
      </w:tr>
      <w:tr>
        <w:trPr/>
        <w:tc>
          <w:tcPr>
            <w:tcW w:w="21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at April 30, 2022</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 </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105,808</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30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194,198</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(228,077</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(33,878</w:t>
            </w:r>
          </w:p>
        </w:tc>
        <w:tc>
          <w:tcPr>
            <w:tcW w:w="176" w:type="dxa"/>
            <w:tcBorders/>
            <w:shd w:fill="CCEEFF" w:val="clear"/>
            <w:vAlign w:val="bottom"/>
          </w:tcPr>
          <w:p>
            <w:pPr>
              <w:pStyle w:val="TableContents"/>
              <w:bidi w:val="0"/>
              <w:spacing w:before="0" w:after="283"/>
              <w:jc w:val="left"/>
              <w:rPr/>
            </w:pPr>
            <w:r>
              <w:rPr/>
              <w:t>) </w:t>
            </w:r>
          </w:p>
        </w:tc>
      </w:tr>
      <w:tr>
        <w:trPr/>
        <w:tc>
          <w:tcPr>
            <w:tcW w:w="2158" w:type="dxa"/>
            <w:tcBorders/>
          </w:tcPr>
          <w:p>
            <w:pPr>
              <w:pStyle w:val="TableContents"/>
              <w:bidi w:val="0"/>
              <w:spacing w:before="0" w:after="0"/>
              <w:jc w:val="left"/>
              <w:rPr>
                <w:rFonts w:ascii="Times New Roman" w:hAnsi="Times New Roman"/>
                <w:sz w:val="20"/>
              </w:rPr>
            </w:pPr>
            <w:r>
              <w:rPr>
                <w:rFonts w:ascii="Times New Roman" w:hAnsi="Times New Roman"/>
                <w:sz w:val="20"/>
              </w:rPr>
              <w:t>Capital contributions</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r>
      <w:tr>
        <w:trPr/>
        <w:tc>
          <w:tcPr>
            <w:tcW w:w="2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1,209</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1,209</w:t>
            </w:r>
          </w:p>
        </w:tc>
        <w:tc>
          <w:tcPr>
            <w:tcW w:w="176" w:type="dxa"/>
            <w:tcBorders/>
            <w:shd w:fill="CCEEFF" w:val="clear"/>
            <w:vAlign w:val="bottom"/>
          </w:tcPr>
          <w:p>
            <w:pPr>
              <w:pStyle w:val="TableContents"/>
              <w:bidi w:val="0"/>
              <w:spacing w:before="0" w:after="283"/>
              <w:jc w:val="left"/>
              <w:rPr/>
            </w:pPr>
            <w:r>
              <w:rPr/>
              <w:t> </w:t>
            </w:r>
          </w:p>
        </w:tc>
      </w:tr>
      <w:tr>
        <w:trPr/>
        <w:tc>
          <w:tcPr>
            <w:tcW w:w="2158"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redeemable preferred stock</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102,110</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102,110</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r>
      <w:tr>
        <w:trPr/>
        <w:tc>
          <w:tcPr>
            <w:tcW w:w="2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for payments to third party on behalf of stockholder</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(671</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(671</w:t>
            </w:r>
          </w:p>
        </w:tc>
        <w:tc>
          <w:tcPr>
            <w:tcW w:w="176" w:type="dxa"/>
            <w:tcBorders/>
            <w:shd w:fill="CCEEFF" w:val="clear"/>
            <w:vAlign w:val="bottom"/>
          </w:tcPr>
          <w:p>
            <w:pPr>
              <w:pStyle w:val="TableContents"/>
              <w:bidi w:val="0"/>
              <w:spacing w:before="0" w:after="283"/>
              <w:jc w:val="left"/>
              <w:rPr/>
            </w:pPr>
            <w:r>
              <w:rPr/>
              <w:t>) </w:t>
            </w:r>
          </w:p>
        </w:tc>
      </w:tr>
      <w:tr>
        <w:trPr/>
        <w:tc>
          <w:tcPr>
            <w:tcW w:w="2158"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(84,238</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(84,238</w:t>
            </w:r>
          </w:p>
        </w:tc>
        <w:tc>
          <w:tcPr>
            <w:tcW w:w="176" w:type="dxa"/>
            <w:tcBorders/>
            <w:vAlign w:val="bottom"/>
          </w:tcPr>
          <w:p>
            <w:pPr>
              <w:pStyle w:val="TableContents"/>
              <w:bidi w:val="0"/>
              <w:spacing w:before="0" w:after="283"/>
              <w:jc w:val="left"/>
              <w:rPr/>
            </w:pPr>
            <w:r>
              <w:rPr/>
              <w:t>) </w:t>
            </w:r>
          </w:p>
        </w:tc>
      </w:tr>
      <w:tr>
        <w:trPr/>
        <w:tc>
          <w:tcPr>
            <w:tcW w:w="2158"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1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at April 30, 2023</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102,110</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102,110</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105,808</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194,736</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(312,315</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(117,578</w:t>
            </w:r>
          </w:p>
        </w:tc>
        <w:tc>
          <w:tcPr>
            <w:tcW w:w="176" w:type="dxa"/>
            <w:tcBorders/>
            <w:shd w:fill="CCEEFF" w:val="clear"/>
            <w:vAlign w:val="bottom"/>
          </w:tcPr>
          <w:p>
            <w:pPr>
              <w:pStyle w:val="TableContents"/>
              <w:bidi w:val="0"/>
              <w:spacing w:before="0" w:after="283"/>
              <w:jc w:val="left"/>
              <w:rPr/>
            </w:pPr>
            <w:r>
              <w:rPr/>
              <w:t>) </w:t>
            </w:r>
          </w:p>
        </w:tc>
      </w:tr>
      <w:tr>
        <w:trPr/>
        <w:tc>
          <w:tcPr>
            <w:tcW w:w="215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1,488</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1,488</w:t>
            </w:r>
          </w:p>
        </w:tc>
        <w:tc>
          <w:tcPr>
            <w:tcW w:w="176" w:type="dxa"/>
            <w:tcBorders/>
            <w:vAlign w:val="bottom"/>
          </w:tcPr>
          <w:p>
            <w:pPr>
              <w:pStyle w:val="TableContents"/>
              <w:bidi w:val="0"/>
              <w:spacing w:before="0" w:after="283"/>
              <w:jc w:val="left"/>
              <w:rPr/>
            </w:pPr>
            <w:r>
              <w:rPr/>
              <w:t> </w:t>
            </w:r>
          </w:p>
        </w:tc>
      </w:tr>
      <w:tr>
        <w:trPr/>
        <w:tc>
          <w:tcPr>
            <w:tcW w:w="2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redeemable preferred stock</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75,000</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r>
      <w:tr>
        <w:trPr/>
        <w:tc>
          <w:tcPr>
            <w:tcW w:w="2158" w:type="dxa"/>
            <w:tcBorders/>
          </w:tcPr>
          <w:p>
            <w:pPr>
              <w:pStyle w:val="TableContents"/>
              <w:bidi w:val="0"/>
              <w:spacing w:before="0" w:after="0"/>
              <w:jc w:val="left"/>
              <w:rPr>
                <w:rFonts w:ascii="Times New Roman" w:hAnsi="Times New Roman"/>
                <w:sz w:val="20"/>
              </w:rPr>
            </w:pPr>
            <w:r>
              <w:rPr>
                <w:rFonts w:ascii="Times New Roman" w:hAnsi="Times New Roman"/>
                <w:sz w:val="20"/>
              </w:rPr>
              <w:t>Deemed dividend for payments to third party on behalf of stockholder</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(799</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(799</w:t>
            </w:r>
          </w:p>
        </w:tc>
        <w:tc>
          <w:tcPr>
            <w:tcW w:w="176" w:type="dxa"/>
            <w:tcBorders/>
            <w:vAlign w:val="bottom"/>
          </w:tcPr>
          <w:p>
            <w:pPr>
              <w:pStyle w:val="TableContents"/>
              <w:bidi w:val="0"/>
              <w:spacing w:before="0" w:after="283"/>
              <w:jc w:val="left"/>
              <w:rPr/>
            </w:pPr>
            <w:r>
              <w:rPr/>
              <w:t>) </w:t>
            </w:r>
          </w:p>
        </w:tc>
      </w:tr>
      <w:tr>
        <w:trPr/>
        <w:tc>
          <w:tcPr>
            <w:tcW w:w="2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contribution from Parent to settle warrant obligation</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1,632</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1,632</w:t>
            </w:r>
          </w:p>
        </w:tc>
        <w:tc>
          <w:tcPr>
            <w:tcW w:w="176" w:type="dxa"/>
            <w:tcBorders/>
            <w:shd w:fill="CCEEFF" w:val="clear"/>
            <w:vAlign w:val="bottom"/>
          </w:tcPr>
          <w:p>
            <w:pPr>
              <w:pStyle w:val="TableContents"/>
              <w:bidi w:val="0"/>
              <w:spacing w:before="0" w:after="283"/>
              <w:jc w:val="left"/>
              <w:rPr/>
            </w:pPr>
            <w:r>
              <w:rPr/>
              <w:t> </w:t>
            </w:r>
          </w:p>
        </w:tc>
      </w:tr>
      <w:tr>
        <w:trPr/>
        <w:tc>
          <w:tcPr>
            <w:tcW w:w="2158"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(94,120</w:t>
            </w:r>
          </w:p>
        </w:tc>
        <w:tc>
          <w:tcPr>
            <w:tcW w:w="1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(94,120</w:t>
            </w:r>
          </w:p>
        </w:tc>
        <w:tc>
          <w:tcPr>
            <w:tcW w:w="176" w:type="dxa"/>
            <w:tcBorders/>
            <w:vAlign w:val="bottom"/>
          </w:tcPr>
          <w:p>
            <w:pPr>
              <w:pStyle w:val="TableContents"/>
              <w:bidi w:val="0"/>
              <w:spacing w:before="0" w:after="283"/>
              <w:jc w:val="left"/>
              <w:rPr/>
            </w:pPr>
            <w:r>
              <w:rPr/>
              <w:t>) </w:t>
            </w:r>
          </w:p>
        </w:tc>
      </w:tr>
      <w:tr>
        <w:trPr/>
        <w:tc>
          <w:tcPr>
            <w:tcW w:w="2158"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1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at April 30, 2024</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177,110</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177,110</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105,808</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30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197,057</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(406,435</w:t>
            </w:r>
          </w:p>
        </w:tc>
        <w:tc>
          <w:tcPr>
            <w:tcW w:w="1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(209,377</w:t>
            </w:r>
          </w:p>
        </w:tc>
        <w:tc>
          <w:tcPr>
            <w:tcW w:w="176" w:type="dxa"/>
            <w:tcBorders/>
            <w:shd w:fill="CCEEFF" w:val="clear"/>
            <w:vAlign w:val="bottom"/>
          </w:tcPr>
          <w:p>
            <w:pPr>
              <w:pStyle w:val="TableContents"/>
              <w:bidi w:val="0"/>
              <w:spacing w:before="0" w:after="283"/>
              <w:jc w:val="left"/>
              <w:rPr/>
            </w:pPr>
            <w:r>
              <w:rPr/>
              <w:t>) </w:t>
            </w:r>
          </w:p>
        </w:tc>
      </w:tr>
      <w:tr>
        <w:trPr/>
        <w:tc>
          <w:tcPr>
            <w:tcW w:w="2158"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3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7" w:type="dxa"/>
            <w:tcBorders/>
            <w:vAlign w:val="bottom"/>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43" w:name="fin744414_21"/>
      <w:bookmarkEnd w:id="43"/>
      <w:r>
        <w:rPr>
          <w:rFonts w:ascii="Times New Roman" w:hAnsi="Times New Roman"/>
          <w:b/>
          <w:sz w:val="20"/>
        </w:rPr>
        <w:t xml:space="preserve">CONSOLIDATED STATEMENTS OF CASH FLOWS </w:t>
      </w:r>
    </w:p>
    <w:p>
      <w:pPr>
        <w:pStyle w:val="TextBody"/>
        <w:bidi w:val="0"/>
        <w:spacing w:before="240" w:after="0"/>
        <w:jc w:val="center"/>
        <w:rPr>
          <w:rFonts w:ascii="Times New Roman" w:hAnsi="Times New Roman"/>
          <w:b/>
          <w:sz w:val="20"/>
        </w:rPr>
      </w:pPr>
      <w:r>
        <w:rPr>
          <w:rFonts w:ascii="Times New Roman" w:hAnsi="Times New Roman"/>
          <w:b/>
          <w:sz w:val="20"/>
        </w:rPr>
        <w:t xml:space="preserve">Years Ended April 30, 2024 and 2023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00"/>
        <w:gridCol w:w="235"/>
        <w:gridCol w:w="140"/>
        <w:gridCol w:w="775"/>
        <w:gridCol w:w="155"/>
        <w:gridCol w:w="200"/>
        <w:gridCol w:w="140"/>
        <w:gridCol w:w="802"/>
        <w:gridCol w:w="158"/>
      </w:tblGrid>
      <w:tr>
        <w:trPr/>
        <w:tc>
          <w:tcPr>
            <w:tcW w:w="760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15"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4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(94,120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(84,238</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to net cash used in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11,560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4,855</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on disposal of property and equipment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1,070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560</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Interest paid-in-kind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1,098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5,183</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debt discounts and issuance costs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446</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1,488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1,209</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lease expense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729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1,090</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Deferred income tax expense (benefit)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(45</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loss on extinguishment of debt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930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Disposable medical equipment supplies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(1,177</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(733</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(271</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(1,998</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7,340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2,143</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liabilities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371</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1,284</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(1,141</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long-term assets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Net cash used in operating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(72,235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(69,642</w:t>
            </w:r>
          </w:p>
        </w:tc>
        <w:tc>
          <w:tcPr>
            <w:tcW w:w="158"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(12,226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(13,927</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Deposits paid for medical rental equipment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(288</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(1,534</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Refund of deposits for medical rental equipment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(12,229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(15,461</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issuance of redeemable preferred stock</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75,000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102,110</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Deemed dividend for payments to third party on behalf of stockholder</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(799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(671</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issuance of long-term debt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45,000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Payment of debt issuance costs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(2,353</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Repayment of long-term debt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(39,123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(5,333</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Net cash provided by financing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77,725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96,106</w:t>
            </w:r>
          </w:p>
        </w:tc>
        <w:tc>
          <w:tcPr>
            <w:tcW w:w="158"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increase (decrease) in cash, cash equivalents and restricted cash</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(6,739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11,003</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Cash, cash equivalents and restricted cash</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Beginning of period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15,322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4,319</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End of period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8,583</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15,322</w:t>
            </w:r>
          </w:p>
        </w:tc>
        <w:tc>
          <w:tcPr>
            <w:tcW w:w="158"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Reconciliation of cash, cash equivalents and restricted cash reported in the consolidated balance sheets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8,249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14,810</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512</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shown in the Consolidated Statements of Cash Flows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8,583</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15,322</w:t>
            </w:r>
          </w:p>
        </w:tc>
        <w:tc>
          <w:tcPr>
            <w:tcW w:w="158"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Non-cash investing and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 in accrued liabilities and accounts payable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11,066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273</w:t>
            </w:r>
          </w:p>
        </w:tc>
        <w:tc>
          <w:tcPr>
            <w:tcW w:w="158"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Capital contribution from Parent to settle warrant obligation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1,632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Supplemental disclosure of cash flow information</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Income taxes paid (refunds received)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12</w:t>
            </w:r>
          </w:p>
        </w:tc>
        <w:tc>
          <w:tcPr>
            <w:tcW w:w="158" w:type="dxa"/>
            <w:tcBorders/>
            <w:shd w:fill="CCEEFF" w:val="clear"/>
            <w:vAlign w:val="bottom"/>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18"/>
              </w:rPr>
            </w:pPr>
            <w:r>
              <w:rPr>
                <w:rFonts w:ascii="Times New Roman" w:hAnsi="Times New Roman"/>
                <w:sz w:val="18"/>
              </w:rPr>
              <w:t>Interest paid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3,630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WEST AFFUM INTERMEDIATE HOLDINGS CORP. AND SUBSIDIARIES </w:t>
      </w:r>
    </w:p>
    <w:p>
      <w:pPr>
        <w:pStyle w:val="TextBody"/>
        <w:bidi w:val="0"/>
        <w:spacing w:before="0" w:after="0"/>
        <w:jc w:val="center"/>
        <w:rPr>
          <w:rFonts w:ascii="Times New Roman" w:hAnsi="Times New Roman"/>
          <w:b/>
          <w:sz w:val="20"/>
        </w:rPr>
      </w:pPr>
      <w:bookmarkStart w:id="44" w:name="fin744414_22"/>
      <w:bookmarkEnd w:id="44"/>
      <w:r>
        <w:rPr>
          <w:rFonts w:ascii="Times New Roman" w:hAnsi="Times New Roman"/>
          <w:b/>
          <w:sz w:val="20"/>
        </w:rPr>
        <w:t xml:space="preserve">NOTES TO CONSOLIDATED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April 30, 2024 and 2023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share and per share amounts)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Operations and Liquidity </w:t>
      </w:r>
    </w:p>
    <w:p>
      <w:pPr>
        <w:pStyle w:val="TextBody"/>
        <w:bidi w:val="0"/>
        <w:spacing w:before="240" w:after="0"/>
        <w:jc w:val="left"/>
        <w:rPr>
          <w:rFonts w:ascii="Times New Roman" w:hAnsi="Times New Roman"/>
          <w:sz w:val="20"/>
        </w:rPr>
      </w:pPr>
      <w:r>
        <w:rPr>
          <w:rFonts w:ascii="Times New Roman" w:hAnsi="Times New Roman"/>
          <w:sz w:val="20"/>
        </w:rPr>
        <w:t xml:space="preserve">West Affum Intermediate Holdings Corp., a Cayman Islands exempted company (the Company), was incorporated on August 6, 2020, in order to carry on the business of West Affum Holdings Corp. (WAH Corp.) and its consolidated subsidiaries. West Affum Intermediate Holdings Corp., is wholly owned by West Affum Holdings L.P., a Cayman Islands limited partnership (the Parent).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its consolidated subsidiaries own certain intellectual property related to the development of personal Wearable Cardioverter Defibrillators (WCD) approved by the U.S. Food and Drug Administration (FDA). </w:t>
      </w:r>
    </w:p>
    <w:p>
      <w:pPr>
        <w:pStyle w:val="TextBody"/>
        <w:bidi w:val="0"/>
        <w:spacing w:before="240" w:after="0"/>
        <w:jc w:val="left"/>
        <w:rPr>
          <w:rFonts w:ascii="Times New Roman" w:hAnsi="Times New Roman"/>
          <w:sz w:val="20"/>
        </w:rPr>
      </w:pPr>
      <w:r>
        <w:rPr>
          <w:rFonts w:ascii="Times New Roman" w:hAnsi="Times New Roman"/>
          <w:sz w:val="20"/>
        </w:rPr>
        <w:t xml:space="preserve">The Company generates revenue through leasing the WCD system to patients.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incurred negative operating cash flows and significant losses from operations since its inception. For the years ended April 30, 2024 and 2023, the Company incurred net losses of $94,120 and $84,238, respectively. Cash used in operating activities was $72,235 and $69,642 for the years ended April 30, 2024 and 2023, respectively. As of April 30, 2024, the Company had an accumulated deficit of $406,435. Management has prepared the consolidated financial statements on a going concern basis which contemplates continuity of normal business activities and the realization of assets and liabilities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historically financed its operations primarily through capital contributions, issuance of preferred stock and redeemable stock and term loans. The Company expects to continue to incur substantial losses for the foreseeable future, and its ability to achieve and sustain profitability will depend on the successful commercialization of its device and on the achievement of sufficient revenue to support its cost structure. As of April 30, 2024 and 2023, the Company had cash, cash equivalents and restricted cash of $8,583 and $15,322, respectively. In May and July 2024, through additional capital contributions and the closing of a private placement, the Company received $116,500 in total net cash proceeds. However, management believes that its cash and cash equivalents balance may not be sufficient to fund its planned current operations for the next twelve months from the date these consolidated financial statements were issued. Management plans on raising additional capital to continue operations but cannot predict with certainty the ability to obtain such funding. If the Company is unable to obtain additional funding, it would be required to suspend operations or reduce its spending profile to a level which would not allow for planned product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as discussed in Note 7, the Companys debt agreement requires certain financial and non-financial covenants, including minimum revenue and cash thresholds, which if not achieved may be considered an event of default under the terms of the debt agreement. Based upon the factors discussed above, there is substantial doubt as to whether the Company will continue as a going concern for the next twelve months from the date these consolidated financial statements were available to be issued. </w:t>
      </w:r>
    </w:p>
    <w:p>
      <w:pPr>
        <w:pStyle w:val="TextBody"/>
        <w:bidi w:val="0"/>
        <w:spacing w:before="240" w:after="0"/>
        <w:jc w:val="left"/>
        <w:rPr>
          <w:rFonts w:ascii="Times New Roman" w:hAnsi="Times New Roman"/>
          <w:b/>
          <w:sz w:val="20"/>
        </w:rPr>
      </w:pPr>
      <w:r>
        <w:rPr>
          <w:rFonts w:ascii="Times New Roman" w:hAnsi="Times New Roman"/>
          <w:b/>
          <w:sz w:val="20"/>
        </w:rPr>
        <w:t xml:space="preserve">2. Significant Accounting Policies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have been prepared in accordance with generally accepted accounting principles in the United States of America (U.S. GAAP) and include the accounts of the Company and its wholly owned subsidiaries. All intercompany accounts and transactions have been eliminated in consolidation. The Companys reporting currency is the U.S. dollar.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the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expenses during the reporting period. Estimates are required as part of determining the estimated lives of property and equipment, stock-based compensation expense, fair value of warrant obligations and valuation allowance for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bases its estimates on historical experience and other market-specific or relevant assumptions that it believes to be reasonable under the circumstances. Actual results could differ from those estimates.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Cash, Cash Equivalents and Restricted Cash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considers all highly liquid investments with an original maturity of three months or less to be cash equivalents. Cash and cash equivalents are recorded at cost, which approximates fair value. Restricted cash consists entirely of amounts related to the Companys office lease agreement. In lieu of a cash security deposit, the landlord required an irrevocable standby letter of credit upon execution of the lease be maintained throughout the term of the lease agreement in the amount of $109 and $512 as of April 30, 2024 and 2023, respectively. The Company also has restricted cash of $225 and $0 for credit card collateralization as of April 30, 2024 and 2023, respectively. </w:t>
      </w:r>
    </w:p>
    <w:p>
      <w:pPr>
        <w:pStyle w:val="TextBody"/>
        <w:bidi w:val="0"/>
        <w:spacing w:before="240" w:after="0"/>
        <w:jc w:val="left"/>
        <w:rPr>
          <w:rFonts w:ascii="Times New Roman" w:hAnsi="Times New Roman"/>
          <w:b/>
          <w:i/>
          <w:sz w:val="20"/>
        </w:rPr>
      </w:pPr>
      <w:r>
        <w:rPr>
          <w:rFonts w:ascii="Times New Roman" w:hAnsi="Times New Roman"/>
          <w:b/>
          <w:i/>
          <w:sz w:val="20"/>
        </w:rPr>
        <w:t xml:space="preserve">Disposable Medical Equipment Supplies </w:t>
      </w:r>
    </w:p>
    <w:p>
      <w:pPr>
        <w:pStyle w:val="TextBody"/>
        <w:bidi w:val="0"/>
        <w:spacing w:before="240" w:after="0"/>
        <w:jc w:val="left"/>
        <w:rPr>
          <w:rFonts w:ascii="Times New Roman" w:hAnsi="Times New Roman"/>
          <w:sz w:val="20"/>
        </w:rPr>
      </w:pPr>
      <w:r>
        <w:rPr>
          <w:rFonts w:ascii="Times New Roman" w:hAnsi="Times New Roman"/>
          <w:sz w:val="20"/>
        </w:rPr>
        <w:t xml:space="preserve">Disposable medical equipment supplies consist of equipment parts, consumables, and associated product supplies that are expensed to the costs of revenue at the time of order delivery to the patient or first use. Disposable medical equipment supplies are valued at standard cost. </w:t>
      </w:r>
    </w:p>
    <w:p>
      <w:pPr>
        <w:pStyle w:val="TextBody"/>
        <w:bidi w:val="0"/>
        <w:spacing w:before="24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240" w:after="0"/>
        <w:jc w:val="left"/>
        <w:rPr>
          <w:rFonts w:ascii="Times New Roman" w:hAnsi="Times New Roman"/>
          <w:sz w:val="20"/>
        </w:rPr>
      </w:pPr>
      <w:r>
        <w:rPr>
          <w:rFonts w:ascii="Times New Roman" w:hAnsi="Times New Roman"/>
          <w:sz w:val="20"/>
        </w:rPr>
        <w:t xml:space="preserve">Accounts receivable and net revenues are based on contractually agreed-upon rates for services provided, reduced by estimated adjustments, including contractual adjustments. Inherent in these estimates is the risk that they will have to be revised or updated as additional information becomes available. The complexity of third-party billing arrangements and laws and regulations governing Medicare may result in adjustments to amounts originally recorded.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performs a periodic analysis to review the valuation of accounts receivable and collectability of outstanding balances. These estimates are determined utilizing historical realization data under a portfolio approach which is then assessed by management to evaluate whether adjustments should be made based on accounts receivable aging trends, other operating trends, and relevant business conditions such as governmental and managed care payor claims processing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 reserve for estimated probable losses as part of net revenue adjustments in order to report revenue at an expected collectable amount based on the total portfolio of receivables for which collectability has been deemed probable. The accounts receivable are presented on the Consolidated Balance Sheets net of the adjustments. </w:t>
      </w:r>
    </w:p>
    <w:p>
      <w:pPr>
        <w:pStyle w:val="TextBody"/>
        <w:bidi w:val="0"/>
        <w:spacing w:before="240" w:after="0"/>
        <w:jc w:val="left"/>
        <w:rPr>
          <w:rFonts w:ascii="Times New Roman" w:hAnsi="Times New Roman"/>
          <w:sz w:val="20"/>
        </w:rPr>
      </w:pPr>
      <w:r>
        <w:rPr>
          <w:rFonts w:ascii="Times New Roman" w:hAnsi="Times New Roman"/>
          <w:sz w:val="20"/>
        </w:rPr>
        <w:t xml:space="preserve">Receivables are considered past due when not collected by established due dates. Specific patient balances are written off after collection efforts have been followed and the account has been determined to be uncollectible. Revisions in reserve estimates are recorded as an adjustment to net revenue in the period of revision. The estimates of the allowance for uncollectible accounts were $500 and $0 as of April 30, 2024 and 2023,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stated at cost less accumulated depreciation. Depreciation of medical rental equipment commences at the date when it becomes available for service, which represents the date that the asset is ready for intended use by the patients and continues through the estimated useful life of the asset. Expenditures for major renewals and betterments that extend the useful lives of property and equipment are capitalized. Expenditures for maintenance and repairs, including planned major maintenance activities,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depreciated using the straight-line method based on the following estimated useful lives: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258"/>
        <w:gridCol w:w="258"/>
        <w:gridCol w:w="3158"/>
      </w:tblGrid>
      <w:tr>
        <w:trPr/>
        <w:tc>
          <w:tcPr>
            <w:tcW w:w="5258"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r>
      <w:tr>
        <w:trPr/>
        <w:tc>
          <w:tcPr>
            <w:tcW w:w="5258"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Asset Classification</w:t>
            </w:r>
          </w:p>
        </w:tc>
        <w:tc>
          <w:tcPr>
            <w:tcW w:w="258" w:type="dxa"/>
            <w:tcBorders/>
            <w:vAlign w:val="bottom"/>
          </w:tcPr>
          <w:p>
            <w:pPr>
              <w:pStyle w:val="TableContents"/>
              <w:bidi w:val="0"/>
              <w:spacing w:before="0" w:after="283"/>
              <w:jc w:val="left"/>
              <w:rPr/>
            </w:pPr>
            <w:r>
              <w:rPr/>
              <w:t>  </w:t>
            </w:r>
          </w:p>
        </w:tc>
        <w:tc>
          <w:tcPr>
            <w:tcW w:w="3158"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Estimated Useful Lives</w:t>
            </w:r>
          </w:p>
        </w:tc>
      </w:tr>
      <w:tr>
        <w:trPr/>
        <w:tc>
          <w:tcPr>
            <w:tcW w:w="5258" w:type="dxa"/>
            <w:tcBorders/>
          </w:tcPr>
          <w:p>
            <w:pPr>
              <w:pStyle w:val="TableContents"/>
              <w:bidi w:val="0"/>
              <w:spacing w:before="0" w:after="283"/>
              <w:jc w:val="left"/>
              <w:rPr/>
            </w:pPr>
            <w:r>
              <w:rPr/>
              <w:t>Computer software and equipment</w:t>
            </w:r>
          </w:p>
        </w:tc>
        <w:tc>
          <w:tcPr>
            <w:tcW w:w="258" w:type="dxa"/>
            <w:tcBorders/>
            <w:vAlign w:val="bottom"/>
          </w:tcPr>
          <w:p>
            <w:pPr>
              <w:pStyle w:val="TableContents"/>
              <w:bidi w:val="0"/>
              <w:spacing w:before="0" w:after="283"/>
              <w:jc w:val="left"/>
              <w:rPr/>
            </w:pPr>
            <w:r>
              <w:rPr/>
              <w:t>  </w:t>
            </w:r>
          </w:p>
        </w:tc>
        <w:tc>
          <w:tcPr>
            <w:tcW w:w="3158" w:type="dxa"/>
            <w:tcBorders/>
          </w:tcPr>
          <w:p>
            <w:pPr>
              <w:pStyle w:val="TableContents"/>
              <w:bidi w:val="0"/>
              <w:spacing w:before="0" w:after="283"/>
              <w:jc w:val="center"/>
              <w:rPr/>
            </w:pPr>
            <w:r>
              <w:rPr/>
              <w:t>3.0 years</w:t>
            </w:r>
          </w:p>
        </w:tc>
      </w:tr>
      <w:tr>
        <w:trPr/>
        <w:tc>
          <w:tcPr>
            <w:tcW w:w="5258" w:type="dxa"/>
            <w:tcBorders/>
          </w:tcPr>
          <w:p>
            <w:pPr>
              <w:pStyle w:val="TableContents"/>
              <w:bidi w:val="0"/>
              <w:spacing w:before="0" w:after="283"/>
              <w:jc w:val="left"/>
              <w:rPr/>
            </w:pPr>
            <w:r>
              <w:rPr/>
              <w:t>Test equipment</w:t>
            </w:r>
          </w:p>
        </w:tc>
        <w:tc>
          <w:tcPr>
            <w:tcW w:w="258" w:type="dxa"/>
            <w:tcBorders/>
            <w:vAlign w:val="bottom"/>
          </w:tcPr>
          <w:p>
            <w:pPr>
              <w:pStyle w:val="TableContents"/>
              <w:bidi w:val="0"/>
              <w:spacing w:before="0" w:after="283"/>
              <w:jc w:val="left"/>
              <w:rPr/>
            </w:pPr>
            <w:r>
              <w:rPr/>
              <w:t>  </w:t>
            </w:r>
          </w:p>
        </w:tc>
        <w:tc>
          <w:tcPr>
            <w:tcW w:w="3158" w:type="dxa"/>
            <w:tcBorders/>
          </w:tcPr>
          <w:p>
            <w:pPr>
              <w:pStyle w:val="TableContents"/>
              <w:bidi w:val="0"/>
              <w:spacing w:before="0" w:after="283"/>
              <w:jc w:val="center"/>
              <w:rPr/>
            </w:pPr>
            <w:r>
              <w:rPr/>
              <w:t>5.0 years</w:t>
            </w:r>
          </w:p>
        </w:tc>
      </w:tr>
      <w:tr>
        <w:trPr/>
        <w:tc>
          <w:tcPr>
            <w:tcW w:w="5258" w:type="dxa"/>
            <w:tcBorders/>
          </w:tcPr>
          <w:p>
            <w:pPr>
              <w:pStyle w:val="TableContents"/>
              <w:bidi w:val="0"/>
              <w:spacing w:before="0" w:after="283"/>
              <w:jc w:val="left"/>
              <w:rPr/>
            </w:pPr>
            <w:r>
              <w:rPr/>
              <w:t>Leasehold improvements</w:t>
            </w:r>
          </w:p>
        </w:tc>
        <w:tc>
          <w:tcPr>
            <w:tcW w:w="258" w:type="dxa"/>
            <w:tcBorders/>
            <w:vAlign w:val="bottom"/>
          </w:tcPr>
          <w:p>
            <w:pPr>
              <w:pStyle w:val="TableContents"/>
              <w:bidi w:val="0"/>
              <w:spacing w:before="0" w:after="283"/>
              <w:jc w:val="left"/>
              <w:rPr/>
            </w:pPr>
            <w:r>
              <w:rPr/>
              <w:t>  </w:t>
            </w:r>
          </w:p>
        </w:tc>
        <w:tc>
          <w:tcPr>
            <w:tcW w:w="3158" w:type="dxa"/>
            <w:tcBorders/>
          </w:tcPr>
          <w:p>
            <w:pPr>
              <w:pStyle w:val="TableContents"/>
              <w:bidi w:val="0"/>
              <w:spacing w:before="0" w:after="283"/>
              <w:jc w:val="center"/>
              <w:rPr/>
            </w:pPr>
            <w:r>
              <w:rPr/>
              <w:t>Lesser of useful life or lease-term</w:t>
            </w:r>
          </w:p>
        </w:tc>
      </w:tr>
      <w:tr>
        <w:trPr/>
        <w:tc>
          <w:tcPr>
            <w:tcW w:w="5258" w:type="dxa"/>
            <w:tcBorders/>
          </w:tcPr>
          <w:p>
            <w:pPr>
              <w:pStyle w:val="TableContents"/>
              <w:bidi w:val="0"/>
              <w:spacing w:before="0" w:after="283"/>
              <w:jc w:val="left"/>
              <w:rPr/>
            </w:pPr>
            <w:r>
              <w:rPr/>
              <w:t>Medical rental equipment</w:t>
            </w:r>
          </w:p>
        </w:tc>
        <w:tc>
          <w:tcPr>
            <w:tcW w:w="258" w:type="dxa"/>
            <w:tcBorders/>
            <w:vAlign w:val="bottom"/>
          </w:tcPr>
          <w:p>
            <w:pPr>
              <w:pStyle w:val="TableContents"/>
              <w:bidi w:val="0"/>
              <w:spacing w:before="0" w:after="283"/>
              <w:jc w:val="left"/>
              <w:rPr/>
            </w:pPr>
            <w:r>
              <w:rPr/>
              <w:t>  </w:t>
            </w:r>
          </w:p>
        </w:tc>
        <w:tc>
          <w:tcPr>
            <w:tcW w:w="3158" w:type="dxa"/>
            <w:tcBorders/>
          </w:tcPr>
          <w:p>
            <w:pPr>
              <w:pStyle w:val="TableContents"/>
              <w:bidi w:val="0"/>
              <w:spacing w:before="0" w:after="283"/>
              <w:jc w:val="center"/>
              <w:rPr/>
            </w:pPr>
            <w:r>
              <w:rPr/>
              <w:t>1.57.0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assets are retired or otherwise disposed of, the cost and related accumulated depreciation are removed from the accounts, and any resulting gain or loss is recognized in the Consolidated Statements of Operations and Comprehensive Loss for the year. </w:t>
      </w:r>
    </w:p>
    <w:p>
      <w:pPr>
        <w:pStyle w:val="TextBody"/>
        <w:bidi w:val="0"/>
        <w:spacing w:before="240" w:after="0"/>
        <w:jc w:val="left"/>
        <w:rPr>
          <w:rFonts w:ascii="Times New Roman" w:hAnsi="Times New Roman"/>
          <w:b/>
          <w:i/>
          <w:sz w:val="20"/>
        </w:rPr>
      </w:pPr>
      <w:r>
        <w:rPr>
          <w:rFonts w:ascii="Times New Roman" w:hAnsi="Times New Roman"/>
          <w:b/>
          <w:i/>
          <w:sz w:val="20"/>
        </w:rPr>
        <w:t xml:space="preserve">Deposits </w:t>
      </w:r>
    </w:p>
    <w:p>
      <w:pPr>
        <w:pStyle w:val="TextBody"/>
        <w:bidi w:val="0"/>
        <w:spacing w:before="240" w:after="0"/>
        <w:jc w:val="left"/>
        <w:rPr>
          <w:rFonts w:ascii="Times New Roman" w:hAnsi="Times New Roman"/>
          <w:sz w:val="20"/>
        </w:rPr>
      </w:pPr>
      <w:r>
        <w:rPr>
          <w:rFonts w:ascii="Times New Roman" w:hAnsi="Times New Roman"/>
          <w:sz w:val="20"/>
        </w:rPr>
        <w:t xml:space="preserve">Deposits represent advance payments to contracted suppliers for medical rental equipment and disposable medical equipment supplies. These payments are classified as long-term assets in the Consolidated Balance Sheets. </w:t>
      </w:r>
    </w:p>
    <w:p>
      <w:pPr>
        <w:pStyle w:val="TextBody"/>
        <w:bidi w:val="0"/>
        <w:spacing w:before="24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determines if an arrangement is a lease at inception and on the lease commencement date, the Company recognizes an asset for the right to use a leased asset and a liability based on the present value of remaining lease payments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determines whether a contract contains a lease at the inception of a contract. If the contract conveys the right to control the use of an identified asset for a period of time in exchange for consideration, the Company considers the contract to contain a lease.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determines whether a contract conveys the right to control the use of an identified asset for a period of time if the contract contains both the right to obtain substantially all of the economic benefits from use of the identified asset and the right to direct the use of the identified asset. </w:t>
      </w:r>
    </w:p>
    <w:p>
      <w:pPr>
        <w:pStyle w:val="TextBody"/>
        <w:bidi w:val="0"/>
        <w:spacing w:before="240" w:after="0"/>
        <w:jc w:val="left"/>
        <w:rPr>
          <w:rFonts w:ascii="Times New Roman" w:hAnsi="Times New Roman"/>
          <w:sz w:val="20"/>
        </w:rPr>
      </w:pPr>
      <w:r>
        <w:rPr>
          <w:rFonts w:ascii="Times New Roman" w:hAnsi="Times New Roman"/>
          <w:sz w:val="20"/>
        </w:rPr>
        <w:t xml:space="preserve">The Companys leases do not provide an implicit rate. As such, the Company uses its incremental borrowing rate based on the information available at commencement date in determining the present value of lease payments. </w:t>
      </w:r>
    </w:p>
    <w:p>
      <w:pPr>
        <w:pStyle w:val="TextBody"/>
        <w:bidi w:val="0"/>
        <w:spacing w:before="240" w:after="0"/>
        <w:jc w:val="left"/>
        <w:rPr>
          <w:rFonts w:ascii="Times New Roman" w:hAnsi="Times New Roman"/>
          <w:sz w:val="20"/>
        </w:rPr>
      </w:pPr>
      <w:r>
        <w:rPr>
          <w:rFonts w:ascii="Times New Roman" w:hAnsi="Times New Roman"/>
          <w:sz w:val="20"/>
        </w:rPr>
        <w:t xml:space="preserve">Lease and non-lease components are combined for all leases. The measurement of lease right-of-use assets and liabilities includes amounts related to lease payments made prior to the lease commencement date, incentives from landlords received by the Company for signing a lease, including tenant improvement allowances or deferred lease credits paid to the Company by landlords, fixed payments related to lease components, such as rent escalation payments schedules at the lease commencement date, and fixed payments related to non-lease components, such as taxes, insurance and maintenance costs. The measurement of lease right-of-use assets and liabilities excludes amounts related to variable payments related to lease components, such as contingent rent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Variable payments related to non-lease components, such as taxes, insurance and maintenance costs, are expensed as incurred in the Consolidated Statements of Operations and Comprehensive Loss. The Company has elected not to recognize right-of use-assets and lease liabilities for leases with a term of twelve months or less. Lease costs for short-term leases are recognized on a straight-line basis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Companys leases may include options to extend the lease or to terminate the lease. The Company assesses these leases and, depending on the facts and circumstances, has not included these options in the measurement of the Companys lease right-of-use assets and liabilities since extending the lease under an option is not reasonably certain of such option being exercised. </w:t>
      </w:r>
    </w:p>
    <w:p>
      <w:pPr>
        <w:pStyle w:val="TextBody"/>
        <w:bidi w:val="0"/>
        <w:spacing w:before="240" w:after="0"/>
        <w:jc w:val="left"/>
        <w:rPr>
          <w:rFonts w:ascii="Times New Roman" w:hAnsi="Times New Roman"/>
          <w:sz w:val="20"/>
        </w:rPr>
      </w:pPr>
      <w:r>
        <w:rPr>
          <w:rFonts w:ascii="Times New Roman" w:hAnsi="Times New Roman"/>
          <w:sz w:val="20"/>
        </w:rPr>
        <w:t xml:space="preserve">Non-cash amortization related to the lease right-of-use assets and liabilities is calculated on a straight-line basis over the lease term and is reflected in research and development costs and selling, general and administrative expense in the Consolidated Statements of Operations and Comprehensive Loss. Operating lease payments are classified as cash flows from operating activities in the Consolidated Statements of Cash Flows. </w:t>
      </w:r>
    </w:p>
    <w:p>
      <w:pPr>
        <w:pStyle w:val="TextBody"/>
        <w:bidi w:val="0"/>
        <w:spacing w:before="24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periodically reviews its long-lived assets, including property and equipment and right-of-use assets for impairment whenever events or changes in circumstances indicate that the carrying amount of the asset may not be recoverable.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compares the carrying value of the long-lived assets (asset group) with the estimated future net undiscounted future cash flows expected to result from the use of the assets (asset group), including cash flows from disposition. An impairment loss is measured as the amount by which the carrying value exceeds the fair value of the long-lived assets (asset group). No impairment of long-lived assets was recorded during the years ended April 30, 2024 and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240" w:after="0"/>
        <w:jc w:val="left"/>
        <w:rPr>
          <w:rFonts w:ascii="Times New Roman" w:hAnsi="Times New Roman"/>
          <w:sz w:val="20"/>
        </w:rPr>
      </w:pPr>
      <w:r>
        <w:rPr>
          <w:rFonts w:ascii="Times New Roman" w:hAnsi="Times New Roman"/>
          <w:sz w:val="20"/>
        </w:rPr>
        <w:t xml:space="preserve">The Company generates revenue from the leases of ASSURE© System, which consists of a Wearable Cardioverter Defibrillator (WCD) combined with a proprietary digital healthcare platform, to at-risk patients for a fixed amount on a month-to-month basis. The lease payments generally consist of the contracted amounts based on reimbursement arrangements with third-party payors including Medicare, Medicaid and private commercial payors, and/or certain patient co-payments. The patient has the right to cancel the lease at any time during the rental period. </w:t>
      </w:r>
    </w:p>
    <w:p>
      <w:pPr>
        <w:pStyle w:val="TextBody"/>
        <w:bidi w:val="0"/>
        <w:spacing w:before="240" w:after="0"/>
        <w:jc w:val="left"/>
        <w:rPr>
          <w:rFonts w:ascii="Times New Roman" w:hAnsi="Times New Roman"/>
          <w:sz w:val="20"/>
        </w:rPr>
      </w:pPr>
      <w:r>
        <w:rPr>
          <w:rFonts w:ascii="Times New Roman" w:hAnsi="Times New Roman"/>
          <w:sz w:val="20"/>
        </w:rPr>
        <w:t xml:space="preserve">The equipment leases are classified as operating leases at lease commencement, and the Company recognizes the revenue associated with ASSURE© rentals in accordance with Accounting Standards Codification Topic 842, </w:t>
      </w:r>
      <w:r>
        <w:rPr>
          <w:rFonts w:ascii="Times New Roman" w:hAnsi="Times New Roman"/>
          <w:i/>
          <w:sz w:val="20"/>
        </w:rPr>
        <w:t>Leases</w:t>
      </w:r>
      <w:r>
        <w:rPr>
          <w:rFonts w:ascii="Times New Roman" w:hAnsi="Times New Roman"/>
          <w:sz w:val="20"/>
        </w:rPr>
        <w:t xml:space="preserve"> (ASC Topic 842). The Company elected the practical expedient provided under ASC Topic 842 to combine the lease of ASSURE© System with the non-lease components, which includes the digital healthcare platform. The ASSURE© System is expected to be the predominant component and, as a result, the Company accounts for the combined revenue components under ASC Topic 842. Revenue is recognized on a straight-line basis over the contractual non-cancellable lease term, which is one month, when collectability of the lease payments is deemed to be probable. If collectability of the lease payments is not deemed to be probable, the lease income is limited to the lesser of the income that would have been recognized if collectability was probable or the lease payments collected. Collectability of all lease payments, which includes amounts reimbursed by third-party payors and/or amounts covered by the patient, is assessed for each contract upon lease commencement and is subject to subsequent reassessment throughout the lease term, as necessary. </w:t>
      </w:r>
    </w:p>
    <w:p>
      <w:pPr>
        <w:pStyle w:val="TextBody"/>
        <w:bidi w:val="0"/>
        <w:spacing w:before="240" w:after="0"/>
        <w:jc w:val="left"/>
        <w:rPr>
          <w:rFonts w:ascii="Times New Roman" w:hAnsi="Times New Roman"/>
          <w:sz w:val="20"/>
        </w:rPr>
      </w:pPr>
      <w:r>
        <w:rPr>
          <w:rFonts w:ascii="Times New Roman" w:hAnsi="Times New Roman"/>
          <w:sz w:val="20"/>
        </w:rPr>
        <w:t xml:space="preserve">Due to the nature of the industry and the reimbursement environment in which we operate, we periodically evaluate the need to record a general reserve under ASC 450, </w:t>
      </w:r>
      <w:r>
        <w:rPr>
          <w:rFonts w:ascii="Times New Roman" w:hAnsi="Times New Roman"/>
          <w:i/>
          <w:sz w:val="20"/>
        </w:rPr>
        <w:t xml:space="preserve">Contingencies, </w:t>
      </w:r>
      <w:r>
        <w:rPr>
          <w:rFonts w:ascii="Times New Roman" w:hAnsi="Times New Roman"/>
          <w:sz w:val="20"/>
        </w:rPr>
        <w:t xml:space="preserve">for a portfolio of operating lease receivables that are probable of collection. Inherent in the reserve estimates is the risk that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 </w:t>
      </w:r>
    </w:p>
    <w:p>
      <w:pPr>
        <w:pStyle w:val="TextBody"/>
        <w:bidi w:val="0"/>
        <w:spacing w:before="240" w:after="0"/>
        <w:jc w:val="left"/>
        <w:rPr>
          <w:rFonts w:ascii="Times New Roman" w:hAnsi="Times New Roman"/>
          <w:b/>
          <w:i/>
          <w:sz w:val="20"/>
        </w:rPr>
      </w:pPr>
      <w:r>
        <w:rPr>
          <w:rFonts w:ascii="Times New Roman" w:hAnsi="Times New Roman"/>
          <w:b/>
          <w:i/>
          <w:sz w:val="20"/>
        </w:rPr>
        <w:t xml:space="preserve">Costs of Revenue </w:t>
      </w:r>
    </w:p>
    <w:p>
      <w:pPr>
        <w:pStyle w:val="TextBody"/>
        <w:bidi w:val="0"/>
        <w:spacing w:before="240" w:after="0"/>
        <w:jc w:val="left"/>
        <w:rPr>
          <w:rFonts w:ascii="Times New Roman" w:hAnsi="Times New Roman"/>
          <w:sz w:val="20"/>
        </w:rPr>
      </w:pPr>
      <w:r>
        <w:rPr>
          <w:rFonts w:ascii="Times New Roman" w:hAnsi="Times New Roman"/>
          <w:sz w:val="20"/>
        </w:rPr>
        <w:t xml:space="preserve">Costs of revenue consist of direct material, labor and indirect costs related to lease performance of ASSURE© System. It includes the cost of disposable WCD device components, depreciation cost of medical rental equipment reusable components, shipping, and order fulfillment costs, as well as other indirect costs incurred to support the manufacture and medical rental equipment delivery to and ongoing support for the patients costs incurred in connection with providing the ASSURE© System to the patients.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income taxes using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if it is more likely than not that some, or all of the net deferred tax assets will not be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effect of income tax positions only if it is more likely than not that the tax position will be sustained upon examination by the tax authorities. Recognized income tax positions are measured at the largest amount that has a greater than 50.0% likelihood of being recognized. Changes in recognition or measurement are reflected in the period in which the change in judgement occurs.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consist of salaries and related benefits of product development personnel, prototype materials and other expenses related to the development of new products. Research and development expenses are expensed as incurred. </w:t>
      </w:r>
    </w:p>
    <w:p>
      <w:pPr>
        <w:pStyle w:val="TextBody"/>
        <w:bidi w:val="0"/>
        <w:spacing w:before="240" w:after="0"/>
        <w:jc w:val="left"/>
        <w:rPr>
          <w:rFonts w:ascii="Times New Roman" w:hAnsi="Times New Roman"/>
          <w:b/>
          <w:i/>
          <w:sz w:val="20"/>
        </w:rPr>
      </w:pPr>
      <w:r>
        <w:rPr>
          <w:rFonts w:ascii="Times New Roman" w:hAnsi="Times New Roman"/>
          <w:b/>
          <w:i/>
          <w:sz w:val="20"/>
        </w:rPr>
        <w:t xml:space="preserve">Patent Costs </w:t>
      </w:r>
    </w:p>
    <w:p>
      <w:pPr>
        <w:pStyle w:val="TextBody"/>
        <w:bidi w:val="0"/>
        <w:spacing w:before="240" w:after="0"/>
        <w:jc w:val="left"/>
        <w:rPr>
          <w:rFonts w:ascii="Times New Roman" w:hAnsi="Times New Roman"/>
          <w:sz w:val="20"/>
        </w:rPr>
      </w:pPr>
      <w:r>
        <w:rPr>
          <w:rFonts w:ascii="Times New Roman" w:hAnsi="Times New Roman"/>
          <w:sz w:val="20"/>
        </w:rPr>
        <w:t xml:space="preserve">Costs related to filing and pursuing patent applications are expensed as incurred, as recoverability of such expenditures is uncertain. Patent-related legal costs are included as a component of selling, general and administrative expenses.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Stock-based compensation expense for equity incentive units is measured at the grant date based on the fair value of the award and is recognized as compensation expense as vesting milestones are met. The Company uses the Black-Scholes option pricing model to determine the fair value of incentive units. The model requires various assumptions involving the judgement of management, including the fair value of common units, volatility in the unit price, time to liquidity and risk-free interest rate. Since the units are not publicly traded, expected volatility is estimated based on the average historical volatility of similar entities with publicly traded shares. Forfeitures are recognized as they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Payments on Behalf of Stockholder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April 30, 2024 and 2023, the Company paid administrative costs related to its stockholder, Parent, of $799 and $671, respectively. The payments on behalf of the stockholder were recorded as a deemed dividend in the Consolidated Statements of Changes in Redeemable Preferred Stock and Stockholders Equity (Deficit).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Concentrations of Risk </w:t>
      </w:r>
    </w:p>
    <w:p>
      <w:pPr>
        <w:pStyle w:val="TextBody"/>
        <w:bidi w:val="0"/>
        <w:spacing w:before="24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240" w:after="0"/>
        <w:jc w:val="left"/>
        <w:rPr>
          <w:rFonts w:ascii="Times New Roman" w:hAnsi="Times New Roman"/>
          <w:sz w:val="20"/>
        </w:rPr>
      </w:pPr>
      <w:r>
        <w:rPr>
          <w:rFonts w:ascii="Times New Roman" w:hAnsi="Times New Roman"/>
          <w:sz w:val="20"/>
        </w:rPr>
        <w:t xml:space="preserve">Financial instruments which potentially subject the Company to significant concentrations of credit risk consist primarily of cash. The Companys cash is mainly held in financial institutions. Amounts on deposit may at times exceed federally insured limits. The Company has not experienced any losses on its deposits of cash and does not believe that it is subject to unusual credit risk beyond the normal credit risk associated with commercial banking relationships. Further, the Company holds some cash balances in its accounts located in the Cayman Islands which are not insured. </w:t>
      </w:r>
    </w:p>
    <w:p>
      <w:pPr>
        <w:pStyle w:val="TextBody"/>
        <w:bidi w:val="0"/>
        <w:spacing w:before="240" w:after="0"/>
        <w:jc w:val="left"/>
        <w:rPr>
          <w:rFonts w:ascii="Times New Roman" w:hAnsi="Times New Roman"/>
          <w:i/>
          <w:sz w:val="20"/>
        </w:rPr>
      </w:pPr>
      <w:r>
        <w:rPr>
          <w:rFonts w:ascii="Times New Roman" w:hAnsi="Times New Roman"/>
          <w:i/>
          <w:sz w:val="20"/>
        </w:rPr>
        <w:t xml:space="preserve">Business Risk </w:t>
      </w:r>
    </w:p>
    <w:p>
      <w:pPr>
        <w:pStyle w:val="TextBody"/>
        <w:bidi w:val="0"/>
        <w:spacing w:before="240" w:after="0"/>
        <w:jc w:val="left"/>
        <w:rPr>
          <w:rFonts w:ascii="Times New Roman" w:hAnsi="Times New Roman"/>
          <w:sz w:val="20"/>
        </w:rPr>
      </w:pPr>
      <w:r>
        <w:rPr>
          <w:rFonts w:ascii="Times New Roman" w:hAnsi="Times New Roman"/>
          <w:sz w:val="20"/>
        </w:rPr>
        <w:t xml:space="preserve">The Company relies and expects to continue to rely on a small number of vendors to manufacture supplies and materials for its use in our commercial product and the clinical trial programs. These programs could be adversely affected by a significant interruption in these manufacturing services. </w:t>
      </w:r>
    </w:p>
    <w:p>
      <w:pPr>
        <w:pStyle w:val="TextBody"/>
        <w:bidi w:val="0"/>
        <w:spacing w:before="240" w:after="0"/>
        <w:jc w:val="left"/>
        <w:rPr>
          <w:rFonts w:ascii="Times New Roman" w:hAnsi="Times New Roman"/>
          <w:i/>
          <w:sz w:val="20"/>
        </w:rPr>
      </w:pPr>
      <w:r>
        <w:rPr>
          <w:rFonts w:ascii="Times New Roman" w:hAnsi="Times New Roman"/>
          <w:i/>
          <w:sz w:val="20"/>
        </w:rPr>
        <w:t xml:space="preserve">Customer Risk </w:t>
      </w:r>
    </w:p>
    <w:p>
      <w:pPr>
        <w:pStyle w:val="TextBody"/>
        <w:bidi w:val="0"/>
        <w:spacing w:before="240" w:after="0"/>
        <w:jc w:val="left"/>
        <w:rPr>
          <w:rFonts w:ascii="Times New Roman" w:hAnsi="Times New Roman"/>
          <w:sz w:val="20"/>
        </w:rPr>
      </w:pPr>
      <w:r>
        <w:rPr>
          <w:rFonts w:ascii="Times New Roman" w:hAnsi="Times New Roman"/>
          <w:sz w:val="20"/>
        </w:rPr>
        <w:t xml:space="preserve">The Company earns revenues by seeking reimbursement for our product from governmental healthcare programs and private health insurance companies, primarily from the federal Medicare program. If the Medicare program were to slow payments of our receivables for any reason, we would be adversely impacted. In addition, both governmental healthcare programs and private health insurance companies may seek ways to avoid or delay reimbursement, which could adversely affect our cash flow and revenues.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determined that its Chief Executive Officer is its chief operating decision maker. The Companys Chief Executive Officer reviews financial information presented on a consolidated basis for purposes of assessing performance and making decisions on how to allocate resources. Accordingly, the Company has determined that it operates in a single reportable segment and all of the Companys consolidated net income is attributable to the single reportable segment.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240" w:after="0"/>
        <w:jc w:val="left"/>
        <w:rPr>
          <w:rFonts w:ascii="Times New Roman" w:hAnsi="Times New Roman"/>
          <w:sz w:val="20"/>
        </w:rPr>
      </w:pPr>
      <w:r>
        <w:rPr>
          <w:rFonts w:ascii="Times New Roman" w:hAnsi="Times New Roman"/>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as of the measurement date. There are three levels of inputs that may be used to measure fair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Unadjusted quoted prices in active markets that are accessible at the measurement date for identical, unrestricted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Significant other observable inputs other than Level 1 prices such as quoted prices in markets that are not active, or inputs that are observable, either directly or indirectly, for substantially the full term of the asset or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203"/>
        <w:gridCol w:w="100"/>
        <w:gridCol w:w="8984"/>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Prices or valuation techniques that require inputs that are both significant to the fair value measurement and unobservable (i.e., supported by little or no market activity).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Comprehensive loss consists of net loss and other gains or losses affecting stockholders equity that, under accounting principles generally accepted in the United States of America, are excluded from net loss. For the years ended April 30, 2024 and 2023, there were no items which qualify as components of other comprehensive loss and therefore, the Companys comprehensive loss was the same as its reported net loss. </w:t>
      </w:r>
    </w:p>
    <w:p>
      <w:pPr>
        <w:pStyle w:val="TextBody"/>
        <w:bidi w:val="0"/>
        <w:spacing w:before="240" w:after="0"/>
        <w:jc w:val="left"/>
        <w:rPr>
          <w:rFonts w:ascii="Times New Roman" w:hAnsi="Times New Roman"/>
          <w:b/>
          <w:i/>
          <w:sz w:val="20"/>
        </w:rPr>
      </w:pPr>
      <w:r>
        <w:rPr>
          <w:rFonts w:ascii="Times New Roman" w:hAnsi="Times New Roman"/>
          <w:b/>
          <w:i/>
          <w:sz w:val="20"/>
        </w:rPr>
        <w:t xml:space="preserve">Accounting Pronouncements Not Yet Adopted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Financial Accounting Standards Board (FASB) issued Accounting Standards Update (ASU) 2023-07, </w:t>
      </w:r>
      <w:r>
        <w:rPr>
          <w:rFonts w:ascii="Times New Roman" w:hAnsi="Times New Roman"/>
          <w:i/>
          <w:sz w:val="20"/>
        </w:rPr>
        <w:t>Segment Reporting (Topic 280): Improvements to Reportable Segment Disclosures</w:t>
      </w:r>
      <w:r>
        <w:rPr>
          <w:rFonts w:ascii="Times New Roman" w:hAnsi="Times New Roman"/>
          <w:sz w:val="20"/>
        </w:rPr>
        <w:t xml:space="preserve">, which enables investors to better understand an entitys overall performance and assists in assessing potential future cash flows. The guidance is effective for fiscal years beginning after December 15, 2023. The Company is still evaluating the impact that this ASU will have on their financial statement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which enhances transparency and decision usefulness of income tax disclosures, primarily related to the income tax rate reconciliation and income taxes paid information. The guidance is effective for private business entities for annual reporting periods beginning after December 15, 2025. The Company does not anticipate a material impact to the required financial statement disclosure as a result of this ASU. </w:t>
      </w:r>
    </w:p>
    <w:p>
      <w:pPr>
        <w:pStyle w:val="TextBody"/>
        <w:bidi w:val="0"/>
        <w:spacing w:before="240" w:after="0"/>
        <w:jc w:val="left"/>
        <w:rPr>
          <w:rFonts w:ascii="Times New Roman" w:hAnsi="Times New Roman"/>
          <w:sz w:val="20"/>
        </w:rPr>
      </w:pPr>
      <w:r>
        <w:rPr>
          <w:rFonts w:ascii="Times New Roman" w:hAnsi="Times New Roman"/>
          <w:sz w:val="20"/>
        </w:rPr>
        <w:t>The Company has reviewed other recent accounting pronouncements and concluded that they are either not applicable to the business, or that no material effect is expected on the consolidated financial statements as a result of future adoption. No new accounting pronouncements were adopted during the year ended April 30, 2024.</w:t>
      </w:r>
    </w:p>
    <w:p>
      <w:pPr>
        <w:pStyle w:val="TextBody"/>
        <w:bidi w:val="0"/>
        <w:spacing w:before="240" w:after="0"/>
        <w:jc w:val="left"/>
        <w:rPr>
          <w:rFonts w:ascii="Times New Roman" w:hAnsi="Times New Roman"/>
          <w:b/>
          <w:sz w:val="20"/>
        </w:rPr>
      </w:pPr>
      <w:r>
        <w:rPr>
          <w:rFonts w:ascii="Times New Roman" w:hAnsi="Times New Roman"/>
          <w:b/>
          <w:sz w:val="20"/>
        </w:rPr>
        <w:t xml:space="preserve">3. Prepaid Expenses and Other Current Assets </w:t>
      </w:r>
    </w:p>
    <w:p>
      <w:pPr>
        <w:pStyle w:val="TextBody"/>
        <w:bidi w:val="0"/>
        <w:spacing w:before="240" w:after="0"/>
        <w:jc w:val="left"/>
        <w:rPr>
          <w:rFonts w:ascii="Times New Roman" w:hAnsi="Times New Roman"/>
          <w:sz w:val="20"/>
        </w:rPr>
      </w:pPr>
      <w:r>
        <w:rPr>
          <w:rFonts w:ascii="Times New Roman" w:hAnsi="Times New Roman"/>
          <w:sz w:val="20"/>
        </w:rPr>
        <w:t xml:space="preserve">Prepaid expenses and other current assets consisted of the following at: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4942"/>
        <w:gridCol w:w="367"/>
        <w:gridCol w:w="142"/>
        <w:gridCol w:w="631"/>
        <w:gridCol w:w="60"/>
        <w:gridCol w:w="367"/>
        <w:gridCol w:w="142"/>
        <w:gridCol w:w="631"/>
        <w:gridCol w:w="65"/>
      </w:tblGrid>
      <w:tr>
        <w:trPr/>
        <w:tc>
          <w:tcPr>
            <w:tcW w:w="4942"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4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77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77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65" w:type="dxa"/>
            <w:tcBorders/>
            <w:vAlign w:val="bottom"/>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software fees</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951</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1,130</w:t>
            </w:r>
          </w:p>
        </w:tc>
        <w:tc>
          <w:tcPr>
            <w:tcW w:w="65" w:type="dxa"/>
            <w:tcBorders/>
            <w:shd w:fill="CCEEFF" w:val="clear"/>
            <w:vAlign w:val="bottom"/>
          </w:tcPr>
          <w:p>
            <w:pPr>
              <w:pStyle w:val="TableContents"/>
              <w:bidi w:val="0"/>
              <w:spacing w:before="0" w:after="283"/>
              <w:jc w:val="left"/>
              <w:rPr/>
            </w:pPr>
            <w:r>
              <w:rPr/>
              <w:t> </w:t>
            </w:r>
          </w:p>
        </w:tc>
      </w:tr>
      <w:tr>
        <w:trPr/>
        <w:tc>
          <w:tcPr>
            <w:tcW w:w="4942"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419</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370</w:t>
            </w:r>
          </w:p>
        </w:tc>
        <w:tc>
          <w:tcPr>
            <w:tcW w:w="65" w:type="dxa"/>
            <w:tcBorders/>
            <w:vAlign w:val="bottom"/>
          </w:tcPr>
          <w:p>
            <w:pPr>
              <w:pStyle w:val="TableContents"/>
              <w:bidi w:val="0"/>
              <w:spacing w:before="0" w:after="283"/>
              <w:jc w:val="left"/>
              <w:rPr/>
            </w:pPr>
            <w:r>
              <w:rPr/>
              <w:t> </w:t>
            </w:r>
          </w:p>
        </w:tc>
      </w:tr>
      <w:tr>
        <w:trPr/>
        <w:tc>
          <w:tcPr>
            <w:tcW w:w="4942"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9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1,370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1,500</w:t>
            </w:r>
          </w:p>
        </w:tc>
        <w:tc>
          <w:tcPr>
            <w:tcW w:w="65" w:type="dxa"/>
            <w:tcBorders/>
            <w:shd w:fill="CCEEFF" w:val="clear"/>
            <w:vAlign w:val="bottom"/>
          </w:tcPr>
          <w:p>
            <w:pPr>
              <w:pStyle w:val="TableContents"/>
              <w:bidi w:val="0"/>
              <w:spacing w:before="0" w:after="283"/>
              <w:jc w:val="left"/>
              <w:rPr/>
            </w:pPr>
            <w:r>
              <w:rPr/>
              <w:t> </w:t>
            </w:r>
          </w:p>
        </w:tc>
      </w:tr>
      <w:tr>
        <w:trPr/>
        <w:tc>
          <w:tcPr>
            <w:tcW w:w="4942"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4. 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consisted of the following at: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4387"/>
        <w:gridCol w:w="440"/>
        <w:gridCol w:w="145"/>
        <w:gridCol w:w="763"/>
        <w:gridCol w:w="155"/>
        <w:gridCol w:w="440"/>
        <w:gridCol w:w="145"/>
        <w:gridCol w:w="713"/>
        <w:gridCol w:w="159"/>
      </w:tblGrid>
      <w:tr>
        <w:trPr/>
        <w:tc>
          <w:tcPr>
            <w:tcW w:w="4387"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87"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908"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858"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59" w:type="dxa"/>
            <w:tcBorders/>
            <w:vAlign w:val="bottom"/>
          </w:tcPr>
          <w:p>
            <w:pPr>
              <w:pStyle w:val="TableContents"/>
              <w:bidi w:val="0"/>
              <w:spacing w:before="0" w:after="283"/>
              <w:jc w:val="left"/>
              <w:rPr/>
            </w:pPr>
            <w:r>
              <w:rPr/>
              <w:t> </w:t>
            </w:r>
          </w:p>
        </w:tc>
      </w:tr>
      <w:tr>
        <w:trPr/>
        <w:tc>
          <w:tcPr>
            <w:tcW w:w="4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Medical rental equipment</w:t>
            </w:r>
          </w:p>
        </w:tc>
        <w:tc>
          <w:tcPr>
            <w:tcW w:w="4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38,097</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17,827</w:t>
            </w:r>
          </w:p>
        </w:tc>
        <w:tc>
          <w:tcPr>
            <w:tcW w:w="159" w:type="dxa"/>
            <w:tcBorders/>
            <w:shd w:fill="CCEEFF" w:val="clear"/>
            <w:vAlign w:val="bottom"/>
          </w:tcPr>
          <w:p>
            <w:pPr>
              <w:pStyle w:val="TableContents"/>
              <w:bidi w:val="0"/>
              <w:spacing w:before="0" w:after="283"/>
              <w:jc w:val="left"/>
              <w:rPr/>
            </w:pPr>
            <w:r>
              <w:rPr/>
              <w:t> </w:t>
            </w:r>
          </w:p>
        </w:tc>
      </w:tr>
      <w:tr>
        <w:trPr/>
        <w:tc>
          <w:tcPr>
            <w:tcW w:w="4387" w:type="dxa"/>
            <w:tcBorders/>
          </w:tcPr>
          <w:p>
            <w:pPr>
              <w:pStyle w:val="TableContents"/>
              <w:bidi w:val="0"/>
              <w:spacing w:before="0" w:after="0"/>
              <w:jc w:val="left"/>
              <w:rPr>
                <w:rFonts w:ascii="Times New Roman" w:hAnsi="Times New Roman"/>
                <w:sz w:val="20"/>
              </w:rPr>
            </w:pPr>
            <w:r>
              <w:rPr>
                <w:rFonts w:ascii="Times New Roman" w:hAnsi="Times New Roman"/>
                <w:sz w:val="20"/>
              </w:rPr>
              <w:t>Computer software and equipment</w:t>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1,439</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1,471</w:t>
            </w:r>
          </w:p>
        </w:tc>
        <w:tc>
          <w:tcPr>
            <w:tcW w:w="159" w:type="dxa"/>
            <w:tcBorders/>
            <w:vAlign w:val="bottom"/>
          </w:tcPr>
          <w:p>
            <w:pPr>
              <w:pStyle w:val="TableContents"/>
              <w:bidi w:val="0"/>
              <w:spacing w:before="0" w:after="283"/>
              <w:jc w:val="left"/>
              <w:rPr/>
            </w:pPr>
            <w:r>
              <w:rPr/>
              <w:t> </w:t>
            </w:r>
          </w:p>
        </w:tc>
      </w:tr>
      <w:tr>
        <w:trPr/>
        <w:tc>
          <w:tcPr>
            <w:tcW w:w="4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Test equipment</w:t>
            </w:r>
          </w:p>
        </w:tc>
        <w:tc>
          <w:tcPr>
            <w:tcW w:w="4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3,224</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2,435</w:t>
            </w:r>
          </w:p>
        </w:tc>
        <w:tc>
          <w:tcPr>
            <w:tcW w:w="159" w:type="dxa"/>
            <w:tcBorders/>
            <w:shd w:fill="CCEEFF" w:val="clear"/>
            <w:vAlign w:val="bottom"/>
          </w:tcPr>
          <w:p>
            <w:pPr>
              <w:pStyle w:val="TableContents"/>
              <w:bidi w:val="0"/>
              <w:spacing w:before="0" w:after="283"/>
              <w:jc w:val="left"/>
              <w:rPr/>
            </w:pPr>
            <w:r>
              <w:rPr/>
              <w:t> </w:t>
            </w:r>
          </w:p>
        </w:tc>
      </w:tr>
      <w:tr>
        <w:trPr/>
        <w:tc>
          <w:tcPr>
            <w:tcW w:w="4387"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891</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872</w:t>
            </w:r>
          </w:p>
        </w:tc>
        <w:tc>
          <w:tcPr>
            <w:tcW w:w="159" w:type="dxa"/>
            <w:tcBorders/>
            <w:vAlign w:val="bottom"/>
          </w:tcPr>
          <w:p>
            <w:pPr>
              <w:pStyle w:val="TableContents"/>
              <w:bidi w:val="0"/>
              <w:spacing w:before="0" w:after="283"/>
              <w:jc w:val="left"/>
              <w:rPr/>
            </w:pPr>
            <w:r>
              <w:rPr/>
              <w:t> </w:t>
            </w:r>
          </w:p>
        </w:tc>
      </w:tr>
      <w:tr>
        <w:trPr/>
        <w:tc>
          <w:tcPr>
            <w:tcW w:w="4387"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43,651</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22,605</w:t>
            </w:r>
          </w:p>
        </w:tc>
        <w:tc>
          <w:tcPr>
            <w:tcW w:w="159" w:type="dxa"/>
            <w:tcBorders/>
            <w:shd w:fill="CCEEFF" w:val="clear"/>
            <w:vAlign w:val="bottom"/>
          </w:tcPr>
          <w:p>
            <w:pPr>
              <w:pStyle w:val="TableContents"/>
              <w:bidi w:val="0"/>
              <w:spacing w:before="0" w:after="283"/>
              <w:jc w:val="left"/>
              <w:rPr/>
            </w:pPr>
            <w:r>
              <w:rPr/>
              <w:t> </w:t>
            </w:r>
          </w:p>
        </w:tc>
      </w:tr>
      <w:tr>
        <w:trPr/>
        <w:tc>
          <w:tcPr>
            <w:tcW w:w="4387"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(17,546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(7,160</w:t>
            </w:r>
          </w:p>
        </w:tc>
        <w:tc>
          <w:tcPr>
            <w:tcW w:w="159" w:type="dxa"/>
            <w:tcBorders/>
            <w:vAlign w:val="bottom"/>
          </w:tcPr>
          <w:p>
            <w:pPr>
              <w:pStyle w:val="TableContents"/>
              <w:bidi w:val="0"/>
              <w:spacing w:before="0" w:after="283"/>
              <w:jc w:val="left"/>
              <w:rPr/>
            </w:pPr>
            <w:r>
              <w:rPr/>
              <w:t>) </w:t>
            </w:r>
          </w:p>
        </w:tc>
      </w:tr>
      <w:tr>
        <w:trPr/>
        <w:tc>
          <w:tcPr>
            <w:tcW w:w="4387"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26,105</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15,445</w:t>
            </w:r>
          </w:p>
        </w:tc>
        <w:tc>
          <w:tcPr>
            <w:tcW w:w="159" w:type="dxa"/>
            <w:tcBorders/>
            <w:shd w:fill="CCEEFF" w:val="clear"/>
            <w:vAlign w:val="bottom"/>
          </w:tcPr>
          <w:p>
            <w:pPr>
              <w:pStyle w:val="TableContents"/>
              <w:bidi w:val="0"/>
              <w:spacing w:before="0" w:after="283"/>
              <w:jc w:val="left"/>
              <w:rPr/>
            </w:pPr>
            <w:r>
              <w:rPr/>
              <w:t> </w:t>
            </w:r>
          </w:p>
        </w:tc>
      </w:tr>
      <w:tr>
        <w:trPr/>
        <w:tc>
          <w:tcPr>
            <w:tcW w:w="4387"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recorded $11,560 and $4,855 of depreciation expense for the years ended April 30, 2024 and 2023,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5.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two operating leases for office space that commenced on May 1, 2020 and January 1, 2021 with a 48-month term and 40-month term, respectively. The Company determined at the commencement of both leases that it is reasonably certain that the Company will not exercise the option to extend the terms of either lease. The office leases have variable lease payments to reimburse the lessor for costs, such as insurance and taxes but do not depend on an index rate and are excluded from the measurement of the lease liability and are recognized in operating expense. </w:t>
      </w:r>
    </w:p>
    <w:p>
      <w:pPr>
        <w:pStyle w:val="TextBody"/>
        <w:bidi w:val="0"/>
        <w:spacing w:before="240" w:after="0"/>
        <w:jc w:val="left"/>
        <w:rPr>
          <w:rFonts w:ascii="Times New Roman" w:hAnsi="Times New Roman"/>
          <w:sz w:val="20"/>
        </w:rPr>
      </w:pPr>
      <w:r>
        <w:rPr>
          <w:rFonts w:ascii="Times New Roman" w:hAnsi="Times New Roman"/>
          <w:sz w:val="20"/>
        </w:rPr>
        <w:t xml:space="preserve">In June 2021, the Company amended its office lease that began on May 1, 2020 to expand the leased space, commencing on September 1, 2021. The amendment is subject to all terms and conditions of the original office lease agreement and expires in April 2024. In October 2023, the Company amended the existing arrangements into an extended office lease set to expire in April 2029. The Company has the option to renew for 3.0- or 5.0-years upon expiration of the extended term. </w:t>
      </w:r>
    </w:p>
    <w:p>
      <w:pPr>
        <w:pStyle w:val="TextBody"/>
        <w:bidi w:val="0"/>
        <w:spacing w:before="240" w:after="0"/>
        <w:jc w:val="left"/>
        <w:rPr>
          <w:rFonts w:ascii="Times New Roman" w:hAnsi="Times New Roman"/>
          <w:sz w:val="20"/>
        </w:rPr>
      </w:pPr>
      <w:r>
        <w:rPr>
          <w:rFonts w:ascii="Times New Roman" w:hAnsi="Times New Roman"/>
          <w:sz w:val="20"/>
        </w:rPr>
        <w:t xml:space="preserve">The amendment provided rent abatement from November 1, 2023 through April 30, 2024. The amendment further provided a tenant improvement allowance of $943 to be used as rent abatement or tenant improvement reimbursement by June 2026, and $786 specific for tenant improvements. The Company expects the $943 to be used for rent abatement. These items are included in the lease liability calculation and maturity analysis shown below.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expense was as follows for the years ended: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3215"/>
        <w:gridCol w:w="394"/>
        <w:gridCol w:w="140"/>
        <w:gridCol w:w="602"/>
        <w:gridCol w:w="60"/>
        <w:gridCol w:w="394"/>
        <w:gridCol w:w="140"/>
        <w:gridCol w:w="602"/>
        <w:gridCol w:w="65"/>
      </w:tblGrid>
      <w:tr>
        <w:trPr/>
        <w:tc>
          <w:tcPr>
            <w:tcW w:w="321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938"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r>
          </w:p>
        </w:tc>
        <w:tc>
          <w:tcPr>
            <w:tcW w:w="65" w:type="dxa"/>
            <w:tcBorders/>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74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74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65" w:type="dxa"/>
            <w:tcBorders/>
            <w:vAlign w:val="bottom"/>
          </w:tcPr>
          <w:p>
            <w:pPr>
              <w:pStyle w:val="TableContents"/>
              <w:bidi w:val="0"/>
              <w:spacing w:before="0" w:after="283"/>
              <w:jc w:val="left"/>
              <w:rPr/>
            </w:pPr>
            <w:r>
              <w:rPr/>
              <w:t> </w:t>
            </w:r>
          </w:p>
        </w:tc>
      </w:tr>
      <w:tr>
        <w:trPr/>
        <w:tc>
          <w:tcPr>
            <w:tcW w:w="32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991</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1,375</w:t>
            </w:r>
          </w:p>
        </w:tc>
        <w:tc>
          <w:tcPr>
            <w:tcW w:w="65" w:type="dxa"/>
            <w:tcBorders/>
            <w:shd w:fill="CCEEFF" w:val="clear"/>
            <w:vAlign w:val="bottom"/>
          </w:tcPr>
          <w:p>
            <w:pPr>
              <w:pStyle w:val="TableContents"/>
              <w:bidi w:val="0"/>
              <w:spacing w:before="0" w:after="283"/>
              <w:jc w:val="left"/>
              <w:rPr/>
            </w:pPr>
            <w:r>
              <w:rPr/>
              <w:t> </w:t>
            </w:r>
          </w:p>
        </w:tc>
      </w:tr>
      <w:tr>
        <w:trPr/>
        <w:tc>
          <w:tcPr>
            <w:tcW w:w="3215"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602</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527</w:t>
            </w:r>
          </w:p>
        </w:tc>
        <w:tc>
          <w:tcPr>
            <w:tcW w:w="65" w:type="dxa"/>
            <w:tcBorders/>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2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expense</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1,593</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1,902</w:t>
            </w:r>
          </w:p>
        </w:tc>
        <w:tc>
          <w:tcPr>
            <w:tcW w:w="65"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Operating lease expense includes amortization and interest expense associated with operating lease right-of-use assets and liabilities. Variable lease expense includes payments related to taxes, insurance and maintenance costs as required by the lease. </w:t>
      </w:r>
    </w:p>
    <w:p>
      <w:pPr>
        <w:pStyle w:val="TextBody"/>
        <w:bidi w:val="0"/>
        <w:spacing w:before="240" w:after="0"/>
        <w:jc w:val="left"/>
        <w:rPr>
          <w:rFonts w:ascii="Times New Roman" w:hAnsi="Times New Roman"/>
          <w:sz w:val="20"/>
        </w:rPr>
      </w:pPr>
      <w:r>
        <w:rPr>
          <w:rFonts w:ascii="Times New Roman" w:hAnsi="Times New Roman"/>
          <w:sz w:val="20"/>
        </w:rPr>
        <w:t xml:space="preserve">Cash paid for operating leases was $1,269 and $1,894 for the years ended April 30,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weighted average remaining lease term for the Companys operating leases was 60 months as of April 30, 2024 and 12 months as of April 30, 2023. The weighted average discount rate used to calculate the net present value of the Companys operating lease liabilities was 15.2% and 14.8% as of April 30, 2024 and April 30, 2023,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Maturities of operating lease liabilities (net reimbursements) were as follows as of April 30, 2024: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4119"/>
        <w:gridCol w:w="514"/>
        <w:gridCol w:w="144"/>
        <w:gridCol w:w="676"/>
        <w:gridCol w:w="159"/>
      </w:tblGrid>
      <w:tr>
        <w:trPr/>
        <w:tc>
          <w:tcPr>
            <w:tcW w:w="4119"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9"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Fiscal Year:</w:t>
            </w:r>
          </w:p>
        </w:tc>
        <w:tc>
          <w:tcPr>
            <w:tcW w:w="51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6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676" w:type="dxa"/>
            <w:tcBorders/>
            <w:vAlign w:val="bottom"/>
          </w:tcPr>
          <w:p>
            <w:pPr>
              <w:pStyle w:val="TableContents"/>
              <w:bidi w:val="0"/>
              <w:spacing w:before="0" w:after="283"/>
              <w:jc w:val="right"/>
              <w:rPr/>
            </w:pPr>
            <w:r>
              <w:rPr/>
              <w:t>(581</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51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1,184</w:t>
            </w:r>
          </w:p>
        </w:tc>
        <w:tc>
          <w:tcPr>
            <w:tcW w:w="159" w:type="dxa"/>
            <w:tcBorders/>
            <w:shd w:fill="CCEEFF" w:val="clear"/>
            <w:vAlign w:val="bottom"/>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1,219</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51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1,256</w:t>
            </w:r>
          </w:p>
        </w:tc>
        <w:tc>
          <w:tcPr>
            <w:tcW w:w="159" w:type="dxa"/>
            <w:tcBorders/>
            <w:shd w:fill="CCEEFF" w:val="clear"/>
            <w:vAlign w:val="bottom"/>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1,293</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51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119"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Total future lease payments</w:t>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4,371</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51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(1,738</w:t>
            </w:r>
          </w:p>
        </w:tc>
        <w:tc>
          <w:tcPr>
            <w:tcW w:w="159" w:type="dxa"/>
            <w:tcBorders/>
            <w:shd w:fill="CCEEFF" w:val="clear"/>
            <w:vAlign w:val="bottom"/>
          </w:tcPr>
          <w:p>
            <w:pPr>
              <w:pStyle w:val="TableContents"/>
              <w:bidi w:val="0"/>
              <w:spacing w:before="0" w:after="283"/>
              <w:jc w:val="left"/>
              <w:rPr/>
            </w:pPr>
            <w:r>
              <w:rPr/>
              <w:t>) </w:t>
            </w:r>
          </w:p>
        </w:tc>
      </w:tr>
      <w:tr>
        <w:trPr/>
        <w:tc>
          <w:tcPr>
            <w:tcW w:w="4119"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 balance</w:t>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2,633</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of lease liability</w:t>
            </w:r>
          </w:p>
        </w:tc>
        <w:tc>
          <w:tcPr>
            <w:tcW w:w="51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119"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 net of current portion</w:t>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676" w:type="dxa"/>
            <w:tcBorders/>
            <w:vAlign w:val="bottom"/>
          </w:tcPr>
          <w:p>
            <w:pPr>
              <w:pStyle w:val="TableContents"/>
              <w:bidi w:val="0"/>
              <w:spacing w:before="0" w:after="283"/>
              <w:jc w:val="right"/>
              <w:rPr/>
            </w:pPr>
            <w:r>
              <w:rPr/>
              <w:t>2,633</w:t>
            </w:r>
          </w:p>
        </w:tc>
        <w:tc>
          <w:tcPr>
            <w:tcW w:w="159" w:type="dxa"/>
            <w:tcBorders/>
            <w:vAlign w:val="bottom"/>
          </w:tcPr>
          <w:p>
            <w:pPr>
              <w:pStyle w:val="TableContents"/>
              <w:bidi w:val="0"/>
              <w:spacing w:before="0" w:after="283"/>
              <w:jc w:val="left"/>
              <w:rPr/>
            </w:pPr>
            <w:r>
              <w:rPr/>
              <w:t> </w:t>
            </w:r>
          </w:p>
        </w:tc>
      </w:tr>
      <w:tr>
        <w:trPr/>
        <w:tc>
          <w:tcPr>
            <w:tcW w:w="4119"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6. Accrued Liabilities </w:t>
      </w:r>
    </w:p>
    <w:p>
      <w:pPr>
        <w:pStyle w:val="TextBody"/>
        <w:bidi w:val="0"/>
        <w:spacing w:before="240" w:after="0"/>
        <w:jc w:val="left"/>
        <w:rPr>
          <w:rFonts w:ascii="Times New Roman" w:hAnsi="Times New Roman"/>
          <w:sz w:val="20"/>
        </w:rPr>
      </w:pPr>
      <w:r>
        <w:rPr>
          <w:rFonts w:ascii="Times New Roman" w:hAnsi="Times New Roman"/>
          <w:sz w:val="20"/>
        </w:rPr>
        <w:t xml:space="preserve">Accrued liabilities consisted of the following at: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3257"/>
        <w:gridCol w:w="378"/>
        <w:gridCol w:w="140"/>
        <w:gridCol w:w="597"/>
        <w:gridCol w:w="60"/>
        <w:gridCol w:w="378"/>
        <w:gridCol w:w="140"/>
        <w:gridCol w:w="597"/>
        <w:gridCol w:w="65"/>
      </w:tblGrid>
      <w:tr>
        <w:trPr/>
        <w:tc>
          <w:tcPr>
            <w:tcW w:w="3257"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5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12"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r>
          </w:p>
        </w:tc>
        <w:tc>
          <w:tcPr>
            <w:tcW w:w="65" w:type="dxa"/>
            <w:tcBorders/>
            <w:vAlign w:val="bottom"/>
          </w:tcPr>
          <w:p>
            <w:pPr>
              <w:pStyle w:val="TableContents"/>
              <w:bidi w:val="0"/>
              <w:spacing w:before="0" w:after="283"/>
              <w:jc w:val="left"/>
              <w:rPr/>
            </w:pPr>
            <w:r>
              <w:rPr/>
              <w:t> </w:t>
            </w:r>
          </w:p>
        </w:tc>
      </w:tr>
      <w:tr>
        <w:trPr/>
        <w:tc>
          <w:tcPr>
            <w:tcW w:w="325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65" w:type="dxa"/>
            <w:tcBorders/>
            <w:vAlign w:val="bottom"/>
          </w:tcPr>
          <w:p>
            <w:pPr>
              <w:pStyle w:val="TableContents"/>
              <w:bidi w:val="0"/>
              <w:spacing w:before="0" w:after="283"/>
              <w:jc w:val="left"/>
              <w:rPr/>
            </w:pPr>
            <w:r>
              <w:rPr/>
              <w:t> </w:t>
            </w:r>
          </w:p>
        </w:tc>
      </w:tr>
      <w:tr>
        <w:trPr/>
        <w:tc>
          <w:tcPr>
            <w:tcW w:w="3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2,651</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3,884</w:t>
            </w:r>
          </w:p>
        </w:tc>
        <w:tc>
          <w:tcPr>
            <w:tcW w:w="65" w:type="dxa"/>
            <w:tcBorders/>
            <w:shd w:fill="CCEEFF" w:val="clear"/>
            <w:vAlign w:val="bottom"/>
          </w:tcPr>
          <w:p>
            <w:pPr>
              <w:pStyle w:val="TableContents"/>
              <w:bidi w:val="0"/>
              <w:spacing w:before="0" w:after="283"/>
              <w:jc w:val="left"/>
              <w:rPr/>
            </w:pPr>
            <w:r>
              <w:rPr/>
              <w:t> </w:t>
            </w:r>
          </w:p>
        </w:tc>
      </w:tr>
      <w:tr>
        <w:trPr/>
        <w:tc>
          <w:tcPr>
            <w:tcW w:w="3257" w:type="dxa"/>
            <w:tcBorders/>
          </w:tcPr>
          <w:p>
            <w:pPr>
              <w:pStyle w:val="TableContents"/>
              <w:bidi w:val="0"/>
              <w:spacing w:before="0" w:after="0"/>
              <w:jc w:val="left"/>
              <w:rPr>
                <w:rFonts w:ascii="Times New Roman" w:hAnsi="Times New Roman"/>
                <w:sz w:val="20"/>
              </w:rPr>
            </w:pPr>
            <w:r>
              <w:rPr>
                <w:rFonts w:ascii="Times New Roman" w:hAnsi="Times New Roman"/>
                <w:sz w:val="20"/>
              </w:rPr>
              <w:t>Bonuses and commissions</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4,291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3,175</w:t>
            </w:r>
          </w:p>
        </w:tc>
        <w:tc>
          <w:tcPr>
            <w:tcW w:w="65" w:type="dxa"/>
            <w:tcBorders/>
            <w:vAlign w:val="bottom"/>
          </w:tcPr>
          <w:p>
            <w:pPr>
              <w:pStyle w:val="TableContents"/>
              <w:bidi w:val="0"/>
              <w:spacing w:before="0" w:after="283"/>
              <w:jc w:val="left"/>
              <w:rPr/>
            </w:pPr>
            <w:r>
              <w:rPr/>
              <w:t> </w:t>
            </w:r>
          </w:p>
        </w:tc>
      </w:tr>
      <w:tr>
        <w:trPr/>
        <w:tc>
          <w:tcPr>
            <w:tcW w:w="3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Vacation</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right"/>
              <w:rPr/>
            </w:pPr>
            <w:r>
              <w:rPr/>
              <w:t>1,903</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right"/>
              <w:rPr/>
            </w:pPr>
            <w:r>
              <w:rPr/>
              <w:t>1,491</w:t>
            </w:r>
          </w:p>
        </w:tc>
        <w:tc>
          <w:tcPr>
            <w:tcW w:w="65" w:type="dxa"/>
            <w:tcBorders/>
            <w:shd w:fill="CCEEFF" w:val="clear"/>
            <w:vAlign w:val="bottom"/>
          </w:tcPr>
          <w:p>
            <w:pPr>
              <w:pStyle w:val="TableContents"/>
              <w:bidi w:val="0"/>
              <w:spacing w:before="0" w:after="283"/>
              <w:jc w:val="left"/>
              <w:rPr/>
            </w:pPr>
            <w:r>
              <w:rPr/>
              <w:t> </w:t>
            </w:r>
          </w:p>
        </w:tc>
      </w:tr>
      <w:tr>
        <w:trPr/>
        <w:tc>
          <w:tcPr>
            <w:tcW w:w="3257" w:type="dxa"/>
            <w:tcBorders/>
          </w:tcPr>
          <w:p>
            <w:pPr>
              <w:pStyle w:val="TableContents"/>
              <w:bidi w:val="0"/>
              <w:spacing w:before="0" w:after="0"/>
              <w:jc w:val="left"/>
              <w:rPr>
                <w:rFonts w:ascii="Times New Roman" w:hAnsi="Times New Roman"/>
                <w:sz w:val="20"/>
              </w:rPr>
            </w:pPr>
            <w:r>
              <w:rPr>
                <w:rFonts w:ascii="Times New Roman" w:hAnsi="Times New Roman"/>
                <w:sz w:val="20"/>
              </w:rPr>
              <w:t>Payroll and payroll taxes</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234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215</w:t>
            </w:r>
          </w:p>
        </w:tc>
        <w:tc>
          <w:tcPr>
            <w:tcW w:w="65" w:type="dxa"/>
            <w:tcBorders/>
            <w:vAlign w:val="bottom"/>
          </w:tcPr>
          <w:p>
            <w:pPr>
              <w:pStyle w:val="TableContents"/>
              <w:bidi w:val="0"/>
              <w:spacing w:before="0" w:after="283"/>
              <w:jc w:val="left"/>
              <w:rPr/>
            </w:pPr>
            <w:r>
              <w:rPr/>
              <w:t> </w:t>
            </w:r>
          </w:p>
        </w:tc>
      </w:tr>
      <w:tr>
        <w:trPr/>
        <w:tc>
          <w:tcPr>
            <w:tcW w:w="3257"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9,079</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8,765</w:t>
            </w:r>
          </w:p>
        </w:tc>
        <w:tc>
          <w:tcPr>
            <w:tcW w:w="65" w:type="dxa"/>
            <w:tcBorders/>
            <w:shd w:fill="CCEEFF" w:val="clear"/>
            <w:vAlign w:val="bottom"/>
          </w:tcPr>
          <w:p>
            <w:pPr>
              <w:pStyle w:val="TableContents"/>
              <w:bidi w:val="0"/>
              <w:spacing w:before="0" w:after="283"/>
              <w:jc w:val="left"/>
              <w:rPr/>
            </w:pPr>
            <w:r>
              <w:rPr/>
              <w:t> </w:t>
            </w:r>
          </w:p>
        </w:tc>
      </w:tr>
      <w:tr>
        <w:trPr/>
        <w:tc>
          <w:tcPr>
            <w:tcW w:w="3257"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7. Long-Term Debt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2020, WAH Corp. and Kestra entered into the Loan and Security Agreement (the Loan Agreement) with a lender, which provided for a Senior Secured Delayed-Draw Term Loan in an aggregate principal amount of up to $50.0 million (the Term Loan). Borrowings under the original Term Loan are made available in up to three tranches, which are subject to the Company achieving certain funding, regulatory or revenue milestones as defined in the Loan Agreement. The term loan includes certain six month trailing revenue thresholds beginning in July of 2022, which if not met, will increase the interest rate on the Term Loan by 1.0% and require the then outstanding balance to accelerate to be repaid over a 24-month period.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2020, the Company drew the first tranche of the Term Loan pursuant to the terms of the Loan Agreement in the amount of $20.0 million. The Company incurred a 1.0% facility fee of the total available loan amount of $50.0 million upon the draw of the first tranche and legal fees of $832 for both the Company and the lender. The Company recognized a portion of the facility fee and legal fees as a discount to the long-term debt liability and a portion in other long-term assets, relative to the tranche draws, both of which are amortized as interest expense over the term of the loan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draw on the first tranche, the Parent issued a warrant to the lender to purchase up to 49,044 shares of the Parents common units at an exercise price of $22.63 per share. The fair value of the warrant is $320 and is recognized as a debt discount and as a capital contribution, and the debt discount is amortized over the term of the loan to interest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21, 2022, the Company drew the second tranche of the Delayed Senior Secured Term Loan pursuant to the terms of the Loan Agreement in the amount of $15.0 million. Relative to the second tranche draw, the Company reclassified a portion of the facility fee and legal fees from other long-term assets to the long-term debt liability as a debt discount, with both facility and legal fees being amortized as interest expense over the term of the loan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draw of the second tranche, the Parent issued a warrant to the lender to purchase up to 36,783 shares of the Parents common units at an exercise price of $26.24 per share. The fair value of the warrant is $375 and is recognized as a debt discount and as a capital contribution, and the debt discount is amortized over the term of the loan to interest expense. </w:t>
      </w:r>
    </w:p>
    <w:p>
      <w:pPr>
        <w:pStyle w:val="TextBody"/>
        <w:bidi w:val="0"/>
        <w:spacing w:before="240" w:after="0"/>
        <w:jc w:val="left"/>
        <w:rPr>
          <w:rFonts w:ascii="Times New Roman" w:hAnsi="Times New Roman"/>
          <w:sz w:val="20"/>
        </w:rPr>
      </w:pPr>
      <w:r>
        <w:rPr>
          <w:rFonts w:ascii="Times New Roman" w:hAnsi="Times New Roman"/>
          <w:sz w:val="20"/>
        </w:rPr>
        <w:t xml:space="preserve">The Term Loan originally bore interest on outstanding balances of 14.5% per annum, all of which could be paid-in-kind, accrued and added to the principal balance and compounded quarterly until the earlier of the repayment or maturity date of the Term Loan. Following achievement of Premarket Approval from the FDA of the Companys ASSURE® WCD system, the Term Loan would bear interest of 12.5% per annum, up to 6.5% of which can be paid-in-kind, accrued and added to the principal and compounded quarterly until the earlier of either the repayment or maturity date of the Term Loan. On July 27, 2021, the Company received FDA Premarket Approval for the ASSURE®WCD system and submitted evidence of the FDA Premarket Approval to the lender of the Term Loan. As such, the Term Loan began to bear interest on outstanding balances of 12.5% per annum, up to 6.5% of which could be paid-in-kind, accrued and added to the principal and compounded quarterly until the earlier of either the repayment or maturity date of the Term Loan. On April 11, 2022, the Company and the lender entered into a First Amendment to Loan and Security Agreement (the Amendment), pursuant to which the parties agreed to amend the existing Loan Agreement to (i) provide for additional funding under additional tranche Loan (Tranche D Draw) in the amount of $10.0 million, (ii) increase the aggregated principal amount by $10.0 million, to a total of $60.0 million, (iii) increase the portion of paid-in-kind interest to 100% of a stated interest rate at 12.5% for the period starting February 1, 2022 through April 30, 2023 and thereafter at a rate of 6.5% in accordance with the terms of the loan, and (iv) modify the certain minimum revenue thresholds and defer the first measurement date to October of 2022. The Amendment included the ability to draw on the third tranche of the debt until March 24, 2023, provided the Company could achieve $9.0 million in three-month trailing revenue. Further, the fourth tranche (Tranche D Draw) for $10.0 million is available until July 24, 2023 upon achievement of a six-month trailing revenue of $25.0 million. The original loan maturity date of September 24, 2025 under the loan modification remained unchanged. The Company evaluated the Amendment to the Term Loan under accounting guidance ASC 470, Debt and determined that the amendment should be treated as a debt modification, as such no gain or loss was recognized in the year ended April 30, 2022.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2022, the Company did not meet the required revenue target for the preceding six-months trailing revenue. As a result, the Company began to make principal payments over a 24-month period, payable at the beginning of the following quarter and the interest rate increased by 1.0% to 13.5%. The Company made its first principal payment of $5,333 on February 1, 2023. The Company did not meet its revenue target for the preceding six months as of January 31, 2023 and principal payments continued. The Company made a second principal payment on May 1, 2023 for $5,511. The Company did not meet its revenue target for the preceding six months as of April 30, 2023 and the next principal payment was due on August 1, 2023. </w:t>
      </w:r>
    </w:p>
    <w:p>
      <w:pPr>
        <w:pStyle w:val="TextBody"/>
        <w:bidi w:val="0"/>
        <w:spacing w:before="240" w:after="0"/>
        <w:jc w:val="left"/>
        <w:rPr>
          <w:rFonts w:ascii="Times New Roman" w:hAnsi="Times New Roman"/>
          <w:sz w:val="20"/>
        </w:rPr>
      </w:pPr>
      <w:r>
        <w:rPr>
          <w:rFonts w:ascii="Times New Roman" w:hAnsi="Times New Roman"/>
          <w:sz w:val="20"/>
        </w:rPr>
        <w:t xml:space="preserve">On July 28, 2023, the Company entered into an agreement with the holder of the Term Loan, to defer a principal payment that was due on August 1, 2023 to extend the payment date to September 1, 2023. On August 31, 2023, the Company entered into an agreement to defer the principal payment that was due on August 1, 2023 to October 31, 2023. The agreement also changed the loan prepayment fee of 6.0% through from September 24, 2022 to September 24, 2023 to a loan prepayment fee of 5.0% from September 24, 2022 through December 31, 2023 and for the prepayment fee to be changed to 3.0% beyond December 31, 2023. On September 29, 2023, the Company terminated the Term Loan by paying off the loan balance of $34,209, accrued interest of $757, a prepayment fee of $1,710 and a loss on extinguishment of debt of $1,006, including the non-cash portion of $930. Loss on extinguishment of debt is part of Other expense (income) on the Consolidated Statements of Operations and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29, 2023 the Company entered into a Credit Agreement with a separate lender which provided a Senior Secured Delayed Draw Term Loan Facility (Term Loan 2024) in an aggregate principal amount of up to $60.0 million which matures on September 29, 2028. Borrowings are made available in up to three tranches, the first of which is available upon closing of the agreement, which included committed equity funding of at least $75.0 million, and two follow on tranches of $7.5 million which become available before November 1, 2024 and February 1, 2025 and are dependent on upon achievement of revenue milestones of trailing twelve month revenues of $50.0 million and $70.0 million, respectively. The Term Loan 2024 bears interest equal to the sum of Term Secured Overnight Financing Rate plus 7.25% for each interest period which is measured monthly and is payable on the last day of each fiscal quarter. Through March 31, 2025, the Company has the ability to pay-in-kind up to 2.0% of the payable interest. The Term Loan 2024 requires a minimum level of cash of $3.0 million and revenues starting at $16.0 million for the trailing twelve-month period ending April 30, 2024 and increasing on a quarterly basis through maturity up to $125.0 million. The revenue covenant began to be measured on April 30, 2024. As of April 30, 2024, the Company was in compliance with its debt covenants.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2023, the Company drew the initial $45.0 million. In connection with the first draw, the Company incurred a 1% facility fee of the total available loan amount of $60.0 million upon the draw of the first tranche of $600 and legal fees of $1,753 for both the Company and the lender. The Company recognized the facility fee and legal fees as a discount of $1,765 to the Term Loan 2024 for the initial draw on the loan, and $588 as an Other asset, for the remainder available to draw. Each of these will be amortized as interest expense over the term of the loan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draw of the first tranche, the Parent issued a warrant to the lender to purchase up to 256,410 shares of the Parents common units at an exercise price of $17.55 per share. The fair value of the warrant is $1,632 and is recognized as a debt discount and as a capital contribution, and the debt discount is amortized over the term of the loan to interest expense. </w:t>
      </w:r>
    </w:p>
    <w:p>
      <w:pPr>
        <w:pStyle w:val="TextBody"/>
        <w:bidi w:val="0"/>
        <w:spacing w:before="240" w:after="0"/>
        <w:jc w:val="left"/>
        <w:rPr>
          <w:rFonts w:ascii="Times New Roman" w:hAnsi="Times New Roman"/>
          <w:sz w:val="20"/>
        </w:rPr>
      </w:pPr>
      <w:r>
        <w:rPr>
          <w:rFonts w:ascii="Times New Roman" w:hAnsi="Times New Roman"/>
          <w:sz w:val="20"/>
        </w:rPr>
        <w:t xml:space="preserve">The Companys long-term debt consisted of the following at: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755"/>
        <w:gridCol w:w="408"/>
        <w:gridCol w:w="140"/>
        <w:gridCol w:w="690"/>
        <w:gridCol w:w="163"/>
        <w:gridCol w:w="408"/>
        <w:gridCol w:w="140"/>
        <w:gridCol w:w="803"/>
        <w:gridCol w:w="167"/>
      </w:tblGrid>
      <w:tr>
        <w:trPr/>
        <w:tc>
          <w:tcPr>
            <w:tcW w:w="5755"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755"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63"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loans</w:t>
            </w:r>
          </w:p>
        </w:tc>
        <w:tc>
          <w:tcPr>
            <w:tcW w:w="4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45,000</w:t>
            </w:r>
          </w:p>
        </w:tc>
        <w:tc>
          <w:tcPr>
            <w:tcW w:w="163"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29,667</w:t>
            </w:r>
          </w:p>
        </w:tc>
        <w:tc>
          <w:tcPr>
            <w:tcW w:w="16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paid-in-kind interest applied to term loan balance</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540</w:t>
            </w:r>
          </w:p>
        </w:tc>
        <w:tc>
          <w:tcPr>
            <w:tcW w:w="163"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8,899</w:t>
            </w:r>
          </w:p>
        </w:tc>
        <w:tc>
          <w:tcPr>
            <w:tcW w:w="16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unamortized debt issuance costs and debt discount</w:t>
            </w:r>
          </w:p>
        </w:tc>
        <w:tc>
          <w:tcPr>
            <w:tcW w:w="4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(3,004</w:t>
            </w:r>
          </w:p>
        </w:tc>
        <w:tc>
          <w:tcPr>
            <w:tcW w:w="163"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(798</w:t>
            </w:r>
          </w:p>
        </w:tc>
        <w:tc>
          <w:tcPr>
            <w:tcW w:w="16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42,536</w:t>
            </w:r>
          </w:p>
        </w:tc>
        <w:tc>
          <w:tcPr>
            <w:tcW w:w="163"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37,768</w:t>
            </w:r>
          </w:p>
        </w:tc>
        <w:tc>
          <w:tcPr>
            <w:tcW w:w="16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of long term debt</w:t>
            </w:r>
          </w:p>
        </w:tc>
        <w:tc>
          <w:tcPr>
            <w:tcW w:w="4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(20,446</w:t>
            </w:r>
          </w:p>
        </w:tc>
        <w:tc>
          <w:tcPr>
            <w:tcW w:w="16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net</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42,536</w:t>
            </w:r>
          </w:p>
        </w:tc>
        <w:tc>
          <w:tcPr>
            <w:tcW w:w="163"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17,322</w:t>
            </w:r>
          </w:p>
        </w:tc>
        <w:tc>
          <w:tcPr>
            <w:tcW w:w="16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April 30, 2024, the Company recognized expense of $4,109 related to the Term Loan 2024. Of this amount, $271 was related to amortization of the facility fee and legal fees, $438 was related to amortization of the debt discount recognized in connection with the warrant, $2,860 was cash interest expense and $540 was interest expense paid-in-kind and applied to the Term Loan 2024 balance as of April 30, 2024.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April 30, 2024, the Company recognized expense of $2,061 related to the Term Loan. Of this amount, $93 was related to amortization of the facility fee and legal fees, $56 was related to amortization of the debt discount recognized in connection with the warrant, $771 was cash interest expense and $1,141 was interest expense paid-in-kind prior to the extinguishment of the Term Loan.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April 30, 2023, the Company recognized expense of $5,629 related to the Term Loan. Of this amount, $279 was related to amortization of the facility fee and legal fees, $167 was related to amortization of the debt discount recognized in connection with the warrant and $5,183 was interest expense paid-in-kind and applied to Term Loan balance as of April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8. Fair Value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fair value hierarchy for its classified assets and liabilities measured at fair value on a recurring basis as of April 30, 2024 and 2023.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3798"/>
        <w:gridCol w:w="384"/>
        <w:gridCol w:w="140"/>
        <w:gridCol w:w="690"/>
        <w:gridCol w:w="60"/>
        <w:gridCol w:w="384"/>
        <w:gridCol w:w="140"/>
        <w:gridCol w:w="690"/>
        <w:gridCol w:w="60"/>
        <w:gridCol w:w="384"/>
        <w:gridCol w:w="275"/>
        <w:gridCol w:w="276"/>
        <w:gridCol w:w="66"/>
      </w:tblGrid>
      <w:tr>
        <w:trPr/>
        <w:tc>
          <w:tcPr>
            <w:tcW w:w="3798"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98"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Level 1</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Level 2</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551"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Level 3</w:t>
            </w:r>
          </w:p>
        </w:tc>
        <w:tc>
          <w:tcPr>
            <w:tcW w:w="66" w:type="dxa"/>
            <w:tcBorders/>
            <w:vAlign w:val="bottom"/>
          </w:tcPr>
          <w:p>
            <w:pPr>
              <w:pStyle w:val="TableContents"/>
              <w:bidi w:val="0"/>
              <w:spacing w:before="0" w:after="283"/>
              <w:jc w:val="left"/>
              <w:rPr/>
            </w:pPr>
            <w:r>
              <w:rPr/>
              <w:t> </w:t>
            </w:r>
          </w:p>
        </w:tc>
      </w:tr>
      <w:tr>
        <w:trPr/>
        <w:tc>
          <w:tcPr>
            <w:tcW w:w="3798"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April 30, 2024</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7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8,249</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9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7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8,583</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43,870</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9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43,870</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27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7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120" w:hRule="atLeast"/>
        </w:trPr>
        <w:tc>
          <w:tcPr>
            <w:tcW w:w="3798" w:type="dxa"/>
            <w:tcBorders/>
            <w:vAlign w:val="center"/>
          </w:tcPr>
          <w:p>
            <w:pPr>
              <w:pStyle w:val="TableContents"/>
              <w:bidi w:val="0"/>
              <w:spacing w:before="0" w:after="283"/>
              <w:jc w:val="left"/>
              <w:rPr>
                <w:sz w:val="4"/>
                <w:szCs w:val="4"/>
              </w:rPr>
            </w:pPr>
            <w:r>
              <w:rPr>
                <w:sz w:val="4"/>
                <w:szCs w:val="4"/>
              </w:rPr>
            </w:r>
          </w:p>
        </w:tc>
        <w:tc>
          <w:tcPr>
            <w:tcW w:w="1274" w:type="dxa"/>
            <w:gridSpan w:val="4"/>
            <w:tcBorders/>
            <w:vAlign w:val="center"/>
          </w:tcPr>
          <w:p>
            <w:pPr>
              <w:pStyle w:val="TableContents"/>
              <w:bidi w:val="0"/>
              <w:spacing w:before="0" w:after="283"/>
              <w:jc w:val="left"/>
              <w:rPr>
                <w:sz w:val="4"/>
                <w:szCs w:val="4"/>
              </w:rPr>
            </w:pPr>
            <w:r>
              <w:rPr>
                <w:sz w:val="4"/>
                <w:szCs w:val="4"/>
              </w:rPr>
            </w:r>
          </w:p>
        </w:tc>
        <w:tc>
          <w:tcPr>
            <w:tcW w:w="1274" w:type="dxa"/>
            <w:gridSpan w:val="4"/>
            <w:tcBorders/>
            <w:vAlign w:val="center"/>
          </w:tcPr>
          <w:p>
            <w:pPr>
              <w:pStyle w:val="TableContents"/>
              <w:bidi w:val="0"/>
              <w:spacing w:before="0" w:after="283"/>
              <w:jc w:val="left"/>
              <w:rPr>
                <w:sz w:val="4"/>
                <w:szCs w:val="4"/>
              </w:rPr>
            </w:pPr>
            <w:r>
              <w:rPr>
                <w:sz w:val="4"/>
                <w:szCs w:val="4"/>
              </w:rPr>
            </w:r>
          </w:p>
        </w:tc>
        <w:tc>
          <w:tcPr>
            <w:tcW w:w="1001" w:type="dxa"/>
            <w:gridSpan w:val="4"/>
            <w:tcBorders/>
            <w:vAlign w:val="center"/>
          </w:tcPr>
          <w:p>
            <w:pPr>
              <w:pStyle w:val="TableContents"/>
              <w:bidi w:val="0"/>
              <w:spacing w:before="0" w:after="283"/>
              <w:jc w:val="left"/>
              <w:rPr>
                <w:sz w:val="4"/>
                <w:szCs w:val="4"/>
              </w:rPr>
            </w:pPr>
            <w:r>
              <w:rPr>
                <w:sz w:val="4"/>
                <w:szCs w:val="4"/>
              </w:rPr>
            </w:r>
          </w:p>
        </w:tc>
      </w:tr>
      <w:tr>
        <w:trPr/>
        <w:tc>
          <w:tcPr>
            <w:tcW w:w="3798"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April 30, 2023</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7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14,810</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9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512</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7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15,322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40,300</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9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40,300</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27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79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classifies its money market funds, which are valued based on quoted market prices in active markets with no valuation adjustment, as cash and cash equivalents within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As of April 30, 2024 and 2023, the fair value of the long-term debt, net of discounts, approximated $43,870 and $40,300, respectively. The fair value of long-term debt was determined using quoted market prices, when available, or discounted cash flows based on various factors, including maturity schedules and current market rates. Long-term debt has been classified as Level 2 of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The only transfer associated with the fair value hierarchies relates to Term Loan 2024 into the Level 2 fair value hierarchy for the year ended April 30, 2024. Other than this item, there were no transfers into or out of the Level 1, 2 or 3 fair value hierarchies during the years ended April 30, 2024 and 2023. </w:t>
      </w:r>
    </w:p>
    <w:p>
      <w:pPr>
        <w:pStyle w:val="TextBody"/>
        <w:bidi w:val="0"/>
        <w:spacing w:before="240" w:after="0"/>
        <w:jc w:val="left"/>
        <w:rPr>
          <w:rFonts w:ascii="Times New Roman" w:hAnsi="Times New Roman"/>
          <w:b/>
          <w:sz w:val="20"/>
        </w:rPr>
      </w:pPr>
      <w:r>
        <w:rPr>
          <w:rFonts w:ascii="Times New Roman" w:hAnsi="Times New Roman"/>
          <w:b/>
          <w:sz w:val="20"/>
        </w:rPr>
        <w:t xml:space="preserve">9. Stockholders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5,000,000 shares of common stock authorized and 105,808 shares issued and outstanding with a par value of $0.01 as of April 30, 2024 and 2023. Each share of common stock is entitled to one vote. Contributions are recorded to additional paid-in capital. </w:t>
      </w:r>
    </w:p>
    <w:p>
      <w:pPr>
        <w:pStyle w:val="TextBody"/>
        <w:bidi w:val="0"/>
        <w:spacing w:before="240" w:after="0"/>
        <w:jc w:val="left"/>
        <w:rPr>
          <w:rFonts w:ascii="Times New Roman" w:hAnsi="Times New Roman"/>
          <w:b/>
          <w:sz w:val="20"/>
        </w:rPr>
      </w:pPr>
      <w:r>
        <w:rPr>
          <w:rFonts w:ascii="Times New Roman" w:hAnsi="Times New Roman"/>
          <w:b/>
          <w:sz w:val="20"/>
        </w:rPr>
        <w:t xml:space="preserve">10. Redeemable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May 2022, the Company amended and restated the Memorandum and Articles of Association of the Company, according to which the Companys existing share capital of 5,000,000 shares can upon the discretion of the Company be issued in the form of either common and/or preferred stock with a par value of $0.01 each. Preferred stock issued is considered non-voting and are subject to preferred dividend accrued daily with a set payment yield capped at 4.7%. The preferred dividend is declared upon the discretion of the directors of the Company on the interim basis and paid out on the annual basis upon discretion of the Company, provided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funds lawfully available for distribution. No dividends were declared as of April 30, 2024 or 2023 and the cumulative unpaid dividends were $6,721 and $2,499, respectively. In the event of liquidation, dissolution or winding up, assets will be applied first, to pay preferred stock dividends and second to pay issue price of preferred stock. Preferred stock may be converted to common stock at the option of the directors upon a successful public offering based on the criteria outlined by the directors of the Company. For the years ended April 30, 2024 and 2023, the Company issued a total of 75,000 and 102,110 preferred shares, respectively, to the Parent for proceeds of $75,000 and $102,110, respectively. </w:t>
      </w:r>
    </w:p>
    <w:p>
      <w:pPr>
        <w:pStyle w:val="TextBody"/>
        <w:bidi w:val="0"/>
        <w:spacing w:before="240" w:after="0"/>
        <w:jc w:val="left"/>
        <w:rPr>
          <w:rFonts w:ascii="Times New Roman" w:hAnsi="Times New Roman"/>
          <w:sz w:val="20"/>
        </w:rPr>
      </w:pPr>
      <w:r>
        <w:rPr>
          <w:rFonts w:ascii="Times New Roman" w:hAnsi="Times New Roman"/>
          <w:sz w:val="20"/>
        </w:rPr>
        <w:t>The preferred stock is presented within mezzanine as it is redeemable for cash or other assets and is redeemable upon the occurrence of an event that is not solely within the control of the Company (specifically, an Initial Public Offering that is at the directors request).</w:t>
      </w:r>
    </w:p>
    <w:p>
      <w:pPr>
        <w:pStyle w:val="TextBody"/>
        <w:bidi w:val="0"/>
        <w:spacing w:before="240" w:after="0"/>
        <w:jc w:val="left"/>
        <w:rPr>
          <w:rFonts w:ascii="Times New Roman" w:hAnsi="Times New Roman"/>
          <w:b/>
          <w:sz w:val="20"/>
        </w:rPr>
      </w:pPr>
      <w:r>
        <w:rPr>
          <w:rFonts w:ascii="Times New Roman" w:hAnsi="Times New Roman"/>
          <w:b/>
          <w:sz w:val="20"/>
        </w:rPr>
        <w:t xml:space="preserve">11.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Certain employees and contractors of the Company have been granted equity incentive units (Incentive Units) of the Parent. The Parent has the ability to issue any number of additional Incentive Units at its discretion. The Incentive Units allow the holder to participate in the equity of the Parent subject to participation thresholds as defined by the Parent. Upon termination, the Company has the right but not the obligation to repurchase vested Incentive Units at fair market value within seven months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The Parent has issued Incentive Units to certain employees of the Company which are vested based on continued service. Any unvested Incentive Units are automatically forfeited upon a separation. Compensation cost of Incentive Units is estimated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$1,488 and $1,209 of stock-based compensation expense related to time-based vested Incentive Units during the years ended April 30, 2024 and 2023, respectively. As of April 30, 2024 and 2023, total Incentive Units vested were 1,262,179 and 1,043,285,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all Incentive Unit activity: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4069"/>
        <w:gridCol w:w="327"/>
        <w:gridCol w:w="60"/>
        <w:gridCol w:w="999"/>
        <w:gridCol w:w="157"/>
      </w:tblGrid>
      <w:tr>
        <w:trPr/>
        <w:tc>
          <w:tcPr>
            <w:tcW w:w="406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69"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05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Incentive</w:t>
              <w:br/>
              <w:t>Units</w:t>
            </w:r>
          </w:p>
        </w:tc>
        <w:tc>
          <w:tcPr>
            <w:tcW w:w="157" w:type="dxa"/>
            <w:tcBorders/>
            <w:vAlign w:val="bottom"/>
          </w:tcPr>
          <w:p>
            <w:pPr>
              <w:pStyle w:val="TableContents"/>
              <w:bidi w:val="0"/>
              <w:spacing w:before="0" w:after="283"/>
              <w:jc w:val="left"/>
              <w:rPr/>
            </w:pPr>
            <w:r>
              <w:rPr/>
              <w:t> </w:t>
            </w:r>
          </w:p>
        </w:tc>
      </w:tr>
      <w:tr>
        <w:trPr/>
        <w:tc>
          <w:tcPr>
            <w:tcW w:w="4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April 30, 2022</w:t>
            </w:r>
          </w:p>
        </w:tc>
        <w:tc>
          <w:tcPr>
            <w:tcW w:w="3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1,426,945</w:t>
            </w:r>
          </w:p>
        </w:tc>
        <w:tc>
          <w:tcPr>
            <w:tcW w:w="157" w:type="dxa"/>
            <w:tcBorders/>
            <w:shd w:fill="CCEEFF" w:val="clear"/>
            <w:vAlign w:val="bottom"/>
          </w:tcPr>
          <w:p>
            <w:pPr>
              <w:pStyle w:val="TableContents"/>
              <w:bidi w:val="0"/>
              <w:spacing w:before="0" w:after="283"/>
              <w:jc w:val="left"/>
              <w:rPr/>
            </w:pPr>
            <w:r>
              <w:rPr/>
              <w:t> </w:t>
            </w:r>
          </w:p>
        </w:tc>
      </w:tr>
      <w:tr>
        <w:trPr/>
        <w:tc>
          <w:tcPr>
            <w:tcW w:w="406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719,796</w:t>
            </w:r>
          </w:p>
        </w:tc>
        <w:tc>
          <w:tcPr>
            <w:tcW w:w="157" w:type="dxa"/>
            <w:tcBorders/>
            <w:vAlign w:val="bottom"/>
          </w:tcPr>
          <w:p>
            <w:pPr>
              <w:pStyle w:val="TableContents"/>
              <w:bidi w:val="0"/>
              <w:spacing w:before="0" w:after="283"/>
              <w:jc w:val="left"/>
              <w:rPr/>
            </w:pPr>
            <w:r>
              <w:rPr/>
              <w:t> </w:t>
            </w:r>
          </w:p>
        </w:tc>
      </w:tr>
      <w:tr>
        <w:trPr/>
        <w:tc>
          <w:tcPr>
            <w:tcW w:w="4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 repurchased</w:t>
            </w:r>
          </w:p>
        </w:tc>
        <w:tc>
          <w:tcPr>
            <w:tcW w:w="3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(59,090</w:t>
            </w:r>
          </w:p>
        </w:tc>
        <w:tc>
          <w:tcPr>
            <w:tcW w:w="157" w:type="dxa"/>
            <w:tcBorders/>
            <w:shd w:fill="CCEEFF" w:val="clear"/>
            <w:vAlign w:val="bottom"/>
          </w:tcPr>
          <w:p>
            <w:pPr>
              <w:pStyle w:val="TableContents"/>
              <w:bidi w:val="0"/>
              <w:spacing w:before="0" w:after="283"/>
              <w:jc w:val="left"/>
              <w:rPr/>
            </w:pPr>
            <w:r>
              <w:rPr/>
              <w:t>) </w:t>
            </w:r>
          </w:p>
        </w:tc>
      </w:tr>
      <w:tr>
        <w:trPr/>
        <w:tc>
          <w:tcPr>
            <w:tcW w:w="406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06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April 30, 2023</w:t>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2,087,651</w:t>
            </w:r>
          </w:p>
        </w:tc>
        <w:tc>
          <w:tcPr>
            <w:tcW w:w="157" w:type="dxa"/>
            <w:tcBorders/>
            <w:vAlign w:val="bottom"/>
          </w:tcPr>
          <w:p>
            <w:pPr>
              <w:pStyle w:val="TableContents"/>
              <w:bidi w:val="0"/>
              <w:spacing w:before="0" w:after="283"/>
              <w:jc w:val="left"/>
              <w:rPr/>
            </w:pPr>
            <w:r>
              <w:rPr/>
              <w:t> </w:t>
            </w:r>
          </w:p>
        </w:tc>
      </w:tr>
      <w:tr>
        <w:trPr/>
        <w:tc>
          <w:tcPr>
            <w:tcW w:w="406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141,800</w:t>
            </w:r>
          </w:p>
        </w:tc>
        <w:tc>
          <w:tcPr>
            <w:tcW w:w="157" w:type="dxa"/>
            <w:tcBorders/>
            <w:shd w:fill="CCEEFF" w:val="clear"/>
            <w:vAlign w:val="bottom"/>
          </w:tcPr>
          <w:p>
            <w:pPr>
              <w:pStyle w:val="TableContents"/>
              <w:bidi w:val="0"/>
              <w:spacing w:before="0" w:after="283"/>
              <w:jc w:val="left"/>
              <w:rPr/>
            </w:pPr>
            <w:r>
              <w:rPr/>
              <w:t> </w:t>
            </w:r>
          </w:p>
        </w:tc>
      </w:tr>
      <w:tr>
        <w:trPr/>
        <w:tc>
          <w:tcPr>
            <w:tcW w:w="4069" w:type="dxa"/>
            <w:tcBorders/>
          </w:tcPr>
          <w:p>
            <w:pPr>
              <w:pStyle w:val="TableContents"/>
              <w:bidi w:val="0"/>
              <w:spacing w:before="0" w:after="0"/>
              <w:jc w:val="left"/>
              <w:rPr>
                <w:rFonts w:ascii="Times New Roman" w:hAnsi="Times New Roman"/>
                <w:sz w:val="20"/>
              </w:rPr>
            </w:pPr>
            <w:r>
              <w:rPr>
                <w:rFonts w:ascii="Times New Roman" w:hAnsi="Times New Roman"/>
                <w:sz w:val="20"/>
              </w:rPr>
              <w:t>Forfeited / repurchased</w:t>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(99,308</w:t>
            </w:r>
          </w:p>
        </w:tc>
        <w:tc>
          <w:tcPr>
            <w:tcW w:w="157" w:type="dxa"/>
            <w:tcBorders/>
            <w:vAlign w:val="bottom"/>
          </w:tcPr>
          <w:p>
            <w:pPr>
              <w:pStyle w:val="TableContents"/>
              <w:bidi w:val="0"/>
              <w:spacing w:before="0" w:after="283"/>
              <w:jc w:val="left"/>
              <w:rPr/>
            </w:pPr>
            <w:r>
              <w:rPr/>
              <w:t>) </w:t>
            </w:r>
          </w:p>
        </w:tc>
      </w:tr>
      <w:tr>
        <w:trPr/>
        <w:tc>
          <w:tcPr>
            <w:tcW w:w="406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April 30, 2024</w:t>
            </w:r>
          </w:p>
        </w:tc>
        <w:tc>
          <w:tcPr>
            <w:tcW w:w="3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2,130,143</w:t>
            </w:r>
          </w:p>
        </w:tc>
        <w:tc>
          <w:tcPr>
            <w:tcW w:w="157" w:type="dxa"/>
            <w:tcBorders/>
            <w:shd w:fill="CCEEFF" w:val="clear"/>
            <w:vAlign w:val="bottom"/>
          </w:tcPr>
          <w:p>
            <w:pPr>
              <w:pStyle w:val="TableContents"/>
              <w:bidi w:val="0"/>
              <w:spacing w:before="0" w:after="283"/>
              <w:jc w:val="left"/>
              <w:rPr/>
            </w:pPr>
            <w:r>
              <w:rPr/>
              <w:t> </w:t>
            </w:r>
          </w:p>
        </w:tc>
      </w:tr>
      <w:tr>
        <w:trPr/>
        <w:tc>
          <w:tcPr>
            <w:tcW w:w="406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stock-based compensation in the following expense categories of its Consolidated Statements of Operations and Comprehensive Loss for the years ended: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5003"/>
        <w:gridCol w:w="354"/>
        <w:gridCol w:w="140"/>
        <w:gridCol w:w="617"/>
        <w:gridCol w:w="60"/>
        <w:gridCol w:w="354"/>
        <w:gridCol w:w="140"/>
        <w:gridCol w:w="617"/>
        <w:gridCol w:w="62"/>
      </w:tblGrid>
      <w:tr>
        <w:trPr/>
        <w:tc>
          <w:tcPr>
            <w:tcW w:w="5003"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03"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928"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r>
          </w:p>
        </w:tc>
        <w:tc>
          <w:tcPr>
            <w:tcW w:w="62" w:type="dxa"/>
            <w:tcBorders/>
            <w:vAlign w:val="bottom"/>
          </w:tcPr>
          <w:p>
            <w:pPr>
              <w:pStyle w:val="TableContents"/>
              <w:bidi w:val="0"/>
              <w:spacing w:before="0" w:after="283"/>
              <w:jc w:val="left"/>
              <w:rPr/>
            </w:pPr>
            <w:r>
              <w:rPr/>
              <w:t> </w:t>
            </w:r>
          </w:p>
        </w:tc>
      </w:tr>
      <w:tr>
        <w:trPr/>
        <w:tc>
          <w:tcPr>
            <w:tcW w:w="5003"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75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75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62" w:type="dxa"/>
            <w:tcBorders/>
            <w:vAlign w:val="bottom"/>
          </w:tcPr>
          <w:p>
            <w:pPr>
              <w:pStyle w:val="TableContents"/>
              <w:bidi w:val="0"/>
              <w:spacing w:before="0" w:after="283"/>
              <w:jc w:val="left"/>
              <w:rPr/>
            </w:pPr>
            <w:r>
              <w:rPr/>
              <w:t> </w:t>
            </w:r>
          </w:p>
        </w:tc>
      </w:tr>
      <w:tr>
        <w:trPr/>
        <w:tc>
          <w:tcPr>
            <w:tcW w:w="5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7</w:t>
            </w:r>
          </w:p>
        </w:tc>
        <w:tc>
          <w:tcPr>
            <w:tcW w:w="62" w:type="dxa"/>
            <w:tcBorders/>
            <w:shd w:fill="CCEEFF" w:val="clear"/>
            <w:vAlign w:val="bottom"/>
          </w:tcPr>
          <w:p>
            <w:pPr>
              <w:pStyle w:val="TableContents"/>
              <w:bidi w:val="0"/>
              <w:spacing w:before="0" w:after="283"/>
              <w:jc w:val="left"/>
              <w:rPr/>
            </w:pPr>
            <w:r>
              <w:rPr/>
              <w:t> </w:t>
            </w:r>
          </w:p>
        </w:tc>
      </w:tr>
      <w:tr>
        <w:trPr/>
        <w:tc>
          <w:tcPr>
            <w:tcW w:w="500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173</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5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1,314</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1,062</w:t>
            </w:r>
          </w:p>
        </w:tc>
        <w:tc>
          <w:tcPr>
            <w:tcW w:w="62" w:type="dxa"/>
            <w:tcBorders/>
            <w:shd w:fill="CCEEFF" w:val="clear"/>
            <w:vAlign w:val="bottom"/>
          </w:tcPr>
          <w:p>
            <w:pPr>
              <w:pStyle w:val="TableContents"/>
              <w:bidi w:val="0"/>
              <w:spacing w:before="0" w:after="283"/>
              <w:jc w:val="left"/>
              <w:rPr/>
            </w:pPr>
            <w:r>
              <w:rPr/>
              <w:t> </w:t>
            </w:r>
          </w:p>
        </w:tc>
      </w:tr>
      <w:tr>
        <w:trPr/>
        <w:tc>
          <w:tcPr>
            <w:tcW w:w="50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03" w:type="dxa"/>
            <w:tcBorders/>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1,488</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1,209</w:t>
            </w:r>
          </w:p>
        </w:tc>
        <w:tc>
          <w:tcPr>
            <w:tcW w:w="62" w:type="dxa"/>
            <w:tcBorders/>
            <w:vAlign w:val="bottom"/>
          </w:tcPr>
          <w:p>
            <w:pPr>
              <w:pStyle w:val="TableContents"/>
              <w:bidi w:val="0"/>
              <w:spacing w:before="0" w:after="283"/>
              <w:jc w:val="left"/>
              <w:rPr/>
            </w:pPr>
            <w:r>
              <w:rPr/>
              <w:t> </w:t>
            </w:r>
          </w:p>
        </w:tc>
      </w:tr>
      <w:tr>
        <w:trPr/>
        <w:tc>
          <w:tcPr>
            <w:tcW w:w="5003"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April 30, 2024 and 2023, total unvested Incentive Units were 867,963 and 1,044,366,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April 30, 2024, unrecognized compensation cost for outstanding Incentive Units was $3,389, with the weighted-average period over which this cost is expected to be recognized at 3.18 years.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compensation cost of the Incentive Units, the fair value for each Incentive Unit has been estimated at the date of grant using the Black-Scholes model. The significant assumptions used in these calculations were summarized as follows: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2025"/>
        <w:gridCol w:w="541"/>
        <w:gridCol w:w="140"/>
        <w:gridCol w:w="876"/>
        <w:gridCol w:w="275"/>
        <w:gridCol w:w="462"/>
        <w:gridCol w:w="140"/>
        <w:gridCol w:w="876"/>
        <w:gridCol w:w="277"/>
      </w:tblGrid>
      <w:tr>
        <w:trPr/>
        <w:tc>
          <w:tcPr>
            <w:tcW w:w="2025"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02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27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277" w:type="dxa"/>
            <w:tcBorders/>
            <w:vAlign w:val="bottom"/>
          </w:tcPr>
          <w:p>
            <w:pPr>
              <w:pStyle w:val="TableContents"/>
              <w:bidi w:val="0"/>
              <w:spacing w:before="0" w:after="283"/>
              <w:jc w:val="left"/>
              <w:rPr/>
            </w:pPr>
            <w:r>
              <w:rPr/>
              <w:t> </w:t>
            </w:r>
          </w:p>
        </w:tc>
      </w:tr>
      <w:tr>
        <w:trPr/>
        <w:tc>
          <w:tcPr>
            <w:tcW w:w="2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90.0</w:t>
            </w:r>
          </w:p>
        </w:tc>
        <w:tc>
          <w:tcPr>
            <w:tcW w:w="27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90.0</w:t>
            </w:r>
          </w:p>
        </w:tc>
        <w:tc>
          <w:tcPr>
            <w:tcW w:w="277" w:type="dxa"/>
            <w:tcBorders/>
            <w:shd w:fill="CCEEFF" w:val="clear"/>
            <w:vAlign w:val="bottom"/>
          </w:tcPr>
          <w:p>
            <w:pPr>
              <w:pStyle w:val="TableContents"/>
              <w:bidi w:val="0"/>
              <w:spacing w:before="0" w:after="283"/>
              <w:jc w:val="left"/>
              <w:rPr/>
            </w:pPr>
            <w:r>
              <w:rPr/>
              <w:t>% </w:t>
            </w:r>
          </w:p>
        </w:tc>
      </w:tr>
      <w:tr>
        <w:trPr/>
        <w:tc>
          <w:tcPr>
            <w:tcW w:w="2025" w:type="dxa"/>
            <w:tcBorders/>
          </w:tcPr>
          <w:p>
            <w:pPr>
              <w:pStyle w:val="TableContents"/>
              <w:bidi w:val="0"/>
              <w:spacing w:before="0" w:after="0"/>
              <w:jc w:val="left"/>
              <w:rPr>
                <w:rFonts w:ascii="Times New Roman" w:hAnsi="Times New Roman"/>
                <w:sz w:val="20"/>
              </w:rPr>
            </w:pPr>
            <w:r>
              <w:rPr>
                <w:rFonts w:ascii="Times New Roman" w:hAnsi="Times New Roman"/>
                <w:sz w:val="20"/>
              </w:rPr>
              <w:t>Expected time to liquidity</w:t>
            </w:r>
          </w:p>
        </w:tc>
        <w:tc>
          <w:tcPr>
            <w:tcW w:w="5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1.5 years</w:t>
            </w:r>
          </w:p>
        </w:tc>
        <w:tc>
          <w:tcPr>
            <w:tcW w:w="27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1.5 years</w:t>
            </w:r>
          </w:p>
        </w:tc>
        <w:tc>
          <w:tcPr>
            <w:tcW w:w="277" w:type="dxa"/>
            <w:tcBorders/>
            <w:vAlign w:val="bottom"/>
          </w:tcPr>
          <w:p>
            <w:pPr>
              <w:pStyle w:val="TableContents"/>
              <w:bidi w:val="0"/>
              <w:spacing w:before="0" w:after="283"/>
              <w:jc w:val="left"/>
              <w:rPr/>
            </w:pPr>
            <w:r>
              <w:rPr/>
              <w:t> </w:t>
            </w:r>
          </w:p>
        </w:tc>
      </w:tr>
      <w:tr>
        <w:trPr/>
        <w:tc>
          <w:tcPr>
            <w:tcW w:w="2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 free rate</w:t>
            </w:r>
          </w:p>
        </w:tc>
        <w:tc>
          <w:tcPr>
            <w:tcW w:w="5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4.04</w:t>
            </w:r>
          </w:p>
        </w:tc>
        <w:tc>
          <w:tcPr>
            <w:tcW w:w="27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4.04</w:t>
            </w:r>
          </w:p>
        </w:tc>
        <w:tc>
          <w:tcPr>
            <w:tcW w:w="277" w:type="dxa"/>
            <w:tcBorders/>
            <w:shd w:fill="CCEEFF" w:val="clear"/>
            <w:vAlign w:val="bottom"/>
          </w:tcPr>
          <w:p>
            <w:pPr>
              <w:pStyle w:val="TableContents"/>
              <w:bidi w:val="0"/>
              <w:spacing w:before="0" w:after="283"/>
              <w:jc w:val="left"/>
              <w:rPr/>
            </w:pPr>
            <w:r>
              <w:rPr/>
              <w:t>% </w:t>
            </w:r>
          </w:p>
        </w:tc>
      </w:tr>
      <w:tr>
        <w:trPr/>
        <w:tc>
          <w:tcPr>
            <w:tcW w:w="2025"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5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0.0</w:t>
            </w:r>
          </w:p>
        </w:tc>
        <w:tc>
          <w:tcPr>
            <w:tcW w:w="277" w:type="dxa"/>
            <w:tcBorders/>
            <w:vAlign w:val="bottom"/>
          </w:tcPr>
          <w:p>
            <w:pPr>
              <w:pStyle w:val="TableContents"/>
              <w:bidi w:val="0"/>
              <w:spacing w:before="0" w:after="283"/>
              <w:jc w:val="left"/>
              <w:rPr/>
            </w:pPr>
            <w:r>
              <w:rPr/>
              <w:t>% </w:t>
            </w:r>
          </w:p>
        </w:tc>
      </w:tr>
      <w:tr>
        <w:trPr/>
        <w:tc>
          <w:tcPr>
            <w:tcW w:w="2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w:t>
            </w:r>
          </w:p>
        </w:tc>
        <w:tc>
          <w:tcPr>
            <w:tcW w:w="5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5.27</w:t>
            </w:r>
          </w:p>
        </w:tc>
        <w:tc>
          <w:tcPr>
            <w:tcW w:w="275"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5.27</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 date fair value of Incentive Units granted for the years ended April 30, 2024 and 2023 were $5.65 and $5.27,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12.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income (loss) before income taxes are as follows: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4295"/>
        <w:gridCol w:w="398"/>
        <w:gridCol w:w="146"/>
        <w:gridCol w:w="823"/>
        <w:gridCol w:w="156"/>
        <w:gridCol w:w="398"/>
        <w:gridCol w:w="146"/>
        <w:gridCol w:w="823"/>
        <w:gridCol w:w="162"/>
      </w:tblGrid>
      <w:tr>
        <w:trPr/>
        <w:tc>
          <w:tcPr>
            <w:tcW w:w="4295"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9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492"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r>
          </w:p>
        </w:tc>
        <w:tc>
          <w:tcPr>
            <w:tcW w:w="162" w:type="dxa"/>
            <w:tcBorders/>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6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6"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6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2" w:type="dxa"/>
            <w:tcBorders/>
            <w:vAlign w:val="bottom"/>
          </w:tcPr>
          <w:p>
            <w:pPr>
              <w:pStyle w:val="TableContents"/>
              <w:bidi w:val="0"/>
              <w:spacing w:before="0" w:after="283"/>
              <w:jc w:val="left"/>
              <w:rPr/>
            </w:pPr>
            <w:r>
              <w:rPr/>
              <w:t> </w:t>
            </w:r>
          </w:p>
        </w:tc>
      </w:tr>
      <w:tr>
        <w:trPr/>
        <w:tc>
          <w:tcPr>
            <w:tcW w:w="4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operations</w:t>
            </w:r>
          </w:p>
        </w:tc>
        <w:tc>
          <w:tcPr>
            <w:tcW w:w="3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(75,374</w:t>
            </w:r>
          </w:p>
        </w:tc>
        <w:tc>
          <w:tcPr>
            <w:tcW w:w="15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(62,739</w:t>
            </w:r>
          </w:p>
        </w:tc>
        <w:tc>
          <w:tcPr>
            <w:tcW w:w="162" w:type="dxa"/>
            <w:tcBorders/>
            <w:shd w:fill="CCEEFF" w:val="clear"/>
            <w:vAlign w:val="bottom"/>
          </w:tcPr>
          <w:p>
            <w:pPr>
              <w:pStyle w:val="TableContents"/>
              <w:bidi w:val="0"/>
              <w:spacing w:before="0" w:after="283"/>
              <w:jc w:val="left"/>
              <w:rPr/>
            </w:pPr>
            <w:r>
              <w:rPr/>
              <w:t>) </w:t>
            </w:r>
          </w:p>
        </w:tc>
      </w:tr>
      <w:tr>
        <w:trPr/>
        <w:tc>
          <w:tcPr>
            <w:tcW w:w="4295" w:type="dxa"/>
            <w:tcBorders/>
          </w:tcPr>
          <w:p>
            <w:pPr>
              <w:pStyle w:val="TableContents"/>
              <w:bidi w:val="0"/>
              <w:spacing w:before="0" w:after="0"/>
              <w:jc w:val="left"/>
              <w:rPr>
                <w:rFonts w:ascii="Times New Roman" w:hAnsi="Times New Roman"/>
                <w:sz w:val="20"/>
              </w:rPr>
            </w:pPr>
            <w:r>
              <w:rPr>
                <w:rFonts w:ascii="Times New Roman" w:hAnsi="Times New Roman"/>
                <w:sz w:val="20"/>
              </w:rPr>
              <w:t>Foreign operations</w:t>
            </w:r>
          </w:p>
        </w:tc>
        <w:tc>
          <w:tcPr>
            <w:tcW w:w="3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(18,722</w:t>
            </w:r>
          </w:p>
        </w:tc>
        <w:tc>
          <w:tcPr>
            <w:tcW w:w="156"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(21,484</w:t>
            </w:r>
          </w:p>
        </w:tc>
        <w:tc>
          <w:tcPr>
            <w:tcW w:w="162" w:type="dxa"/>
            <w:tcBorders/>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before provision for income taxes</w:t>
            </w:r>
          </w:p>
        </w:tc>
        <w:tc>
          <w:tcPr>
            <w:tcW w:w="3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(94,096</w:t>
            </w:r>
          </w:p>
        </w:tc>
        <w:tc>
          <w:tcPr>
            <w:tcW w:w="15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(84,223</w:t>
            </w:r>
          </w:p>
        </w:tc>
        <w:tc>
          <w:tcPr>
            <w:tcW w:w="162" w:type="dxa"/>
            <w:tcBorders/>
            <w:shd w:fill="CCEEFF" w:val="clear"/>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U.S. federal income tax as well as income tax in various states. Additionally, the Company consists of a Cayman Islands parent company with subsidiaries in U.S. and Ireland. Under the current laws of the Cayman Islands, the Company is not subject to tax on its income.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reconciliation between the provision (benefit) for income taxes at the statutory rate and the effective tax rate, a notional U.S. 21.0% rate is applied to pretax income as a result of the following for the years ended: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4353"/>
        <w:gridCol w:w="379"/>
        <w:gridCol w:w="145"/>
        <w:gridCol w:w="815"/>
        <w:gridCol w:w="155"/>
        <w:gridCol w:w="379"/>
        <w:gridCol w:w="145"/>
        <w:gridCol w:w="815"/>
        <w:gridCol w:w="161"/>
      </w:tblGrid>
      <w:tr>
        <w:trPr/>
        <w:tc>
          <w:tcPr>
            <w:tcW w:w="4353"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53"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454"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r>
          </w:p>
        </w:tc>
        <w:tc>
          <w:tcPr>
            <w:tcW w:w="161" w:type="dxa"/>
            <w:tcBorders/>
            <w:vAlign w:val="bottom"/>
          </w:tcPr>
          <w:p>
            <w:pPr>
              <w:pStyle w:val="TableContents"/>
              <w:bidi w:val="0"/>
              <w:spacing w:before="0" w:after="283"/>
              <w:jc w:val="left"/>
              <w:rPr/>
            </w:pPr>
            <w:r>
              <w:rPr/>
              <w:t> </w:t>
            </w:r>
          </w:p>
        </w:tc>
      </w:tr>
      <w:tr>
        <w:trPr/>
        <w:tc>
          <w:tcPr>
            <w:tcW w:w="4353"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6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6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1"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benefit at U.S. statutory rate</w:t>
            </w:r>
          </w:p>
        </w:tc>
        <w:tc>
          <w:tcPr>
            <w:tcW w:w="3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(19,760</w:t>
            </w:r>
          </w:p>
        </w:tc>
        <w:tc>
          <w:tcPr>
            <w:tcW w:w="15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(17,687</w:t>
            </w:r>
          </w:p>
        </w:tc>
        <w:tc>
          <w:tcPr>
            <w:tcW w:w="161"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Non-taxable foreign income</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(373</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204</w:t>
            </w:r>
          </w:p>
        </w:tc>
        <w:tc>
          <w:tcPr>
            <w:tcW w:w="161"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tax(net of federal tax benefit)</w:t>
            </w:r>
          </w:p>
        </w:tc>
        <w:tc>
          <w:tcPr>
            <w:tcW w:w="3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(2,325</w:t>
            </w:r>
          </w:p>
        </w:tc>
        <w:tc>
          <w:tcPr>
            <w:tcW w:w="15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(381</w:t>
            </w:r>
          </w:p>
        </w:tc>
        <w:tc>
          <w:tcPr>
            <w:tcW w:w="161"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Non-deductible expenses</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719</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701</w:t>
            </w:r>
          </w:p>
        </w:tc>
        <w:tc>
          <w:tcPr>
            <w:tcW w:w="161"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credit (net of reserve)</w:t>
            </w:r>
          </w:p>
        </w:tc>
        <w:tc>
          <w:tcPr>
            <w:tcW w:w="3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(704</w:t>
            </w:r>
          </w:p>
        </w:tc>
        <w:tc>
          <w:tcPr>
            <w:tcW w:w="15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(874</w:t>
            </w:r>
          </w:p>
        </w:tc>
        <w:tc>
          <w:tcPr>
            <w:tcW w:w="161"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24</w:t>
            </w:r>
          </w:p>
        </w:tc>
        <w:tc>
          <w:tcPr>
            <w:tcW w:w="161"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22,444</w:t>
            </w:r>
          </w:p>
        </w:tc>
        <w:tc>
          <w:tcPr>
            <w:tcW w:w="15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18,028</w:t>
            </w:r>
          </w:p>
        </w:tc>
        <w:tc>
          <w:tcPr>
            <w:tcW w:w="161" w:type="dxa"/>
            <w:tcBorders/>
            <w:shd w:fill="CCEEFF" w:val="clear"/>
            <w:vAlign w:val="bottom"/>
          </w:tcPr>
          <w:p>
            <w:pPr>
              <w:pStyle w:val="TableContents"/>
              <w:bidi w:val="0"/>
              <w:spacing w:before="0" w:after="283"/>
              <w:jc w:val="left"/>
              <w:rPr/>
            </w:pPr>
            <w:r>
              <w:rPr/>
              <w:t> </w:t>
            </w:r>
          </w:p>
        </w:tc>
      </w:tr>
      <w:tr>
        <w:trPr/>
        <w:tc>
          <w:tcPr>
            <w:tcW w:w="4353"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15"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15"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4353"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components of the deferred tax assets and liabilities at April 30, 2024 and 2023 are as follows: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4335"/>
        <w:gridCol w:w="439"/>
        <w:gridCol w:w="145"/>
        <w:gridCol w:w="764"/>
        <w:gridCol w:w="155"/>
        <w:gridCol w:w="439"/>
        <w:gridCol w:w="145"/>
        <w:gridCol w:w="764"/>
        <w:gridCol w:w="161"/>
      </w:tblGrid>
      <w:tr>
        <w:trPr/>
        <w:tc>
          <w:tcPr>
            <w:tcW w:w="4335"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3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412"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r>
          </w:p>
        </w:tc>
        <w:tc>
          <w:tcPr>
            <w:tcW w:w="161" w:type="dxa"/>
            <w:tcBorders/>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90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909"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1" w:type="dxa"/>
            <w:tcBorders/>
            <w:vAlign w:val="bottom"/>
          </w:tcPr>
          <w:p>
            <w:pPr>
              <w:pStyle w:val="TableContents"/>
              <w:bidi w:val="0"/>
              <w:spacing w:before="0" w:after="283"/>
              <w:jc w:val="left"/>
              <w:rPr/>
            </w:pPr>
            <w:r>
              <w:rPr/>
              <w:t> </w:t>
            </w:r>
          </w:p>
        </w:tc>
      </w:tr>
      <w:tr>
        <w:trPr/>
        <w:tc>
          <w:tcPr>
            <w:tcW w:w="43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Loss carryforwards</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34,572</w:t>
            </w:r>
          </w:p>
        </w:tc>
        <w:tc>
          <w:tcPr>
            <w:tcW w:w="15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15,643</w:t>
            </w:r>
          </w:p>
        </w:tc>
        <w:tc>
          <w:tcPr>
            <w:tcW w:w="161" w:type="dxa"/>
            <w:tcBorders/>
            <w:vAlign w:val="bottom"/>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carryforward</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5,786</w:t>
            </w:r>
          </w:p>
        </w:tc>
        <w:tc>
          <w:tcPr>
            <w:tcW w:w="15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2,405</w:t>
            </w:r>
          </w:p>
        </w:tc>
        <w:tc>
          <w:tcPr>
            <w:tcW w:w="161"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2,261</w:t>
            </w:r>
          </w:p>
        </w:tc>
        <w:tc>
          <w:tcPr>
            <w:tcW w:w="15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1,290</w:t>
            </w:r>
          </w:p>
        </w:tc>
        <w:tc>
          <w:tcPr>
            <w:tcW w:w="161" w:type="dxa"/>
            <w:tcBorders/>
            <w:vAlign w:val="bottom"/>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354</w:t>
            </w:r>
          </w:p>
        </w:tc>
        <w:tc>
          <w:tcPr>
            <w:tcW w:w="15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300</w:t>
            </w:r>
          </w:p>
        </w:tc>
        <w:tc>
          <w:tcPr>
            <w:tcW w:w="161"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Disposable medical equipment supplies</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271</w:t>
            </w:r>
          </w:p>
        </w:tc>
        <w:tc>
          <w:tcPr>
            <w:tcW w:w="161" w:type="dxa"/>
            <w:tcBorders/>
            <w:vAlign w:val="bottom"/>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research and development credits</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5,116</w:t>
            </w:r>
          </w:p>
        </w:tc>
        <w:tc>
          <w:tcPr>
            <w:tcW w:w="15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4,412</w:t>
            </w:r>
          </w:p>
        </w:tc>
        <w:tc>
          <w:tcPr>
            <w:tcW w:w="161"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35,375</w:t>
            </w:r>
          </w:p>
        </w:tc>
        <w:tc>
          <w:tcPr>
            <w:tcW w:w="15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35,375</w:t>
            </w:r>
          </w:p>
        </w:tc>
        <w:tc>
          <w:tcPr>
            <w:tcW w:w="161" w:type="dxa"/>
            <w:tcBorders/>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83,625</w:t>
            </w:r>
          </w:p>
        </w:tc>
        <w:tc>
          <w:tcPr>
            <w:tcW w:w="15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59,696</w:t>
            </w:r>
          </w:p>
        </w:tc>
        <w:tc>
          <w:tcPr>
            <w:tcW w:w="161"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Less: valuation allowance for deferred tax assets</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(79,028</w:t>
            </w:r>
          </w:p>
        </w:tc>
        <w:tc>
          <w:tcPr>
            <w:tcW w:w="15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(56,584</w:t>
            </w:r>
          </w:p>
        </w:tc>
        <w:tc>
          <w:tcPr>
            <w:tcW w:w="161" w:type="dxa"/>
            <w:tcBorders/>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4,597</w:t>
            </w:r>
          </w:p>
        </w:tc>
        <w:tc>
          <w:tcPr>
            <w:tcW w:w="15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3,112</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4335" w:type="dxa"/>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509" w:type="dxa"/>
            <w:gridSpan w:val="4"/>
            <w:tcBorders/>
            <w:vAlign w:val="center"/>
          </w:tcPr>
          <w:p>
            <w:pPr>
              <w:pStyle w:val="TableContents"/>
              <w:bidi w:val="0"/>
              <w:spacing w:before="0" w:after="283"/>
              <w:jc w:val="left"/>
              <w:rPr>
                <w:sz w:val="4"/>
                <w:szCs w:val="4"/>
              </w:rPr>
            </w:pPr>
            <w:r>
              <w:rPr>
                <w:sz w:val="4"/>
                <w:szCs w:val="4"/>
              </w:rPr>
            </w:r>
          </w:p>
        </w:tc>
      </w:tr>
      <w:tr>
        <w:trPr/>
        <w:tc>
          <w:tcPr>
            <w:tcW w:w="4335" w:type="dxa"/>
            <w:tcBorders/>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(4,161</w:t>
            </w:r>
          </w:p>
        </w:tc>
        <w:tc>
          <w:tcPr>
            <w:tcW w:w="15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(2,627</w:t>
            </w:r>
          </w:p>
        </w:tc>
        <w:tc>
          <w:tcPr>
            <w:tcW w:w="161"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(228</w:t>
            </w:r>
          </w:p>
        </w:tc>
        <w:tc>
          <w:tcPr>
            <w:tcW w:w="15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(267</w:t>
            </w:r>
          </w:p>
        </w:tc>
        <w:tc>
          <w:tcPr>
            <w:tcW w:w="161" w:type="dxa"/>
            <w:tcBorders/>
            <w:vAlign w:val="bottom"/>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(284</w:t>
            </w:r>
          </w:p>
        </w:tc>
        <w:tc>
          <w:tcPr>
            <w:tcW w:w="15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(281</w:t>
            </w:r>
          </w:p>
        </w:tc>
        <w:tc>
          <w:tcPr>
            <w:tcW w:w="161" w:type="dxa"/>
            <w:tcBorders/>
            <w:shd w:fill="CCEEFF" w:val="clear"/>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(4,673</w:t>
            </w:r>
          </w:p>
        </w:tc>
        <w:tc>
          <w:tcPr>
            <w:tcW w:w="15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(3,175</w:t>
            </w:r>
          </w:p>
        </w:tc>
        <w:tc>
          <w:tcPr>
            <w:tcW w:w="161" w:type="dxa"/>
            <w:tcBorders/>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liabilities</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(63</w:t>
            </w:r>
          </w:p>
        </w:tc>
        <w:tc>
          <w:tcPr>
            <w:tcW w:w="161" w:type="dxa"/>
            <w:tcBorders/>
            <w:shd w:fill="CCEEFF" w:val="clear"/>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Management considers the scheduled reversal of deferred tax liabilities, projected future taxable income, carry back opportunities and tax planning strategies in making the assessment. The Company believes it is more likely than not it will not realize the benefits of these deductible differences and has applied a full valuation allowance against them.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April 30, 2022, the Company transferred certain intellectual property (IP) rights between our wholly-owned subsidiaries (IP transfer) to align with its evolving business operations, resulting in the recognition of a deferred tax asset of $35,375 (offset by the Companys valuation allowance), which represents the book and tax basis difference in the IP and was based on the fair value of the IP upon the transfer, updated during the year ended April 30, 2023 for subsequent changes in facts and circumstances in accordance with the purchase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$5,116 in U.S. research and development credits which will begin to expire in 2039. Net operating losses and tax credit carryforwards as of April 30, 2024 are as follows: </w:t>
      </w:r>
    </w:p>
    <w:p>
      <w:pPr>
        <w:pStyle w:val="TextBody"/>
        <w:bidi w:val="0"/>
        <w:spacing w:before="0" w:after="0"/>
        <w:jc w:val="left"/>
        <w:rPr/>
      </w:pPr>
      <w:r>
        <w:rPr/>
        <w:t> </w:t>
      </w:r>
    </w:p>
    <w:tbl>
      <w:tblPr>
        <w:tblW w:w="3600" w:type="pct"/>
        <w:jc w:val="center"/>
        <w:tblInd w:w="0" w:type="dxa"/>
        <w:tblLayout w:type="fixed"/>
        <w:tblCellMar>
          <w:top w:w="0" w:type="dxa"/>
          <w:left w:w="0" w:type="dxa"/>
          <w:bottom w:w="0" w:type="dxa"/>
          <w:right w:w="0" w:type="dxa"/>
        </w:tblCellMar>
      </w:tblPr>
      <w:tblGrid>
        <w:gridCol w:w="3918"/>
        <w:gridCol w:w="400"/>
        <w:gridCol w:w="141"/>
        <w:gridCol w:w="931"/>
        <w:gridCol w:w="60"/>
        <w:gridCol w:w="400"/>
        <w:gridCol w:w="1497"/>
      </w:tblGrid>
      <w:tr>
        <w:trPr/>
        <w:tc>
          <w:tcPr>
            <w:tcW w:w="3918"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r>
      <w:tr>
        <w:trPr/>
        <w:tc>
          <w:tcPr>
            <w:tcW w:w="3918"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97" w:type="dxa"/>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Expiration Years</w:t>
            </w:r>
          </w:p>
        </w:tc>
      </w:tr>
      <w:tr>
        <w:trPr/>
        <w:tc>
          <w:tcPr>
            <w:tcW w:w="3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losses, federal</w:t>
            </w:r>
          </w:p>
        </w:tc>
        <w:tc>
          <w:tcPr>
            <w:tcW w:w="40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1" w:type="dxa"/>
            <w:tcBorders/>
            <w:shd w:fill="CCEEFF" w:val="clear"/>
            <w:vAlign w:val="bottom"/>
          </w:tcPr>
          <w:p>
            <w:pPr>
              <w:pStyle w:val="TableContents"/>
              <w:bidi w:val="0"/>
              <w:spacing w:before="0" w:after="283"/>
              <w:jc w:val="right"/>
              <w:rPr/>
            </w:pPr>
            <w:r>
              <w:rPr/>
              <w:t>138,213</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center"/>
              <w:rPr/>
            </w:pPr>
            <w:r>
              <w:rPr/>
              <w:t>Indefinite</w:t>
            </w:r>
          </w:p>
        </w:tc>
      </w:tr>
      <w:tr>
        <w:trPr/>
        <w:tc>
          <w:tcPr>
            <w:tcW w:w="3918"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losses, state</w:t>
            </w:r>
          </w:p>
        </w:tc>
        <w:tc>
          <w:tcPr>
            <w:tcW w:w="40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40,327</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center"/>
              <w:rPr/>
            </w:pPr>
            <w:r>
              <w:rPr/>
              <w:t>Various</w:t>
            </w:r>
          </w:p>
        </w:tc>
      </w:tr>
      <w:tr>
        <w:trPr/>
        <w:tc>
          <w:tcPr>
            <w:tcW w:w="3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credits, federal</w:t>
            </w:r>
          </w:p>
        </w:tc>
        <w:tc>
          <w:tcPr>
            <w:tcW w:w="40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5,890</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center"/>
              <w:rPr/>
            </w:pPr>
            <w:r>
              <w:rPr/>
              <w:t>2039 - 2043</w:t>
            </w:r>
          </w:p>
        </w:tc>
      </w:tr>
      <w:tr>
        <w:trPr/>
        <w:tc>
          <w:tcPr>
            <w:tcW w:w="3918"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losses, foreign</w:t>
            </w:r>
          </w:p>
        </w:tc>
        <w:tc>
          <w:tcPr>
            <w:tcW w:w="40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27,046</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center"/>
              <w:rPr/>
            </w:pPr>
            <w:r>
              <w:rPr/>
              <w:t>Indefinite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determines whether a tax position is more likely than not to be sustained upon examination based on the technical merits of the position in accordance with ASC 740. For tax positions meeting the more likely than not threshold, the tax amount recognized in the consolidated financial statements is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the largest benefit that has a greater than 50.0% likelihood of being realized upon ultimate settlement with the relevant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activity related to unrecognized tax benefits for the years ended: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6443"/>
        <w:gridCol w:w="349"/>
        <w:gridCol w:w="140"/>
        <w:gridCol w:w="467"/>
        <w:gridCol w:w="157"/>
        <w:gridCol w:w="349"/>
        <w:gridCol w:w="140"/>
        <w:gridCol w:w="467"/>
        <w:gridCol w:w="162"/>
      </w:tblGrid>
      <w:tr>
        <w:trPr/>
        <w:tc>
          <w:tcPr>
            <w:tcW w:w="6443"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43"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20"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r>
          </w:p>
        </w:tc>
        <w:tc>
          <w:tcPr>
            <w:tcW w:w="162" w:type="dxa"/>
            <w:tcBorders/>
            <w:vAlign w:val="bottom"/>
          </w:tcPr>
          <w:p>
            <w:pPr>
              <w:pStyle w:val="TableContents"/>
              <w:bidi w:val="0"/>
              <w:spacing w:before="0" w:after="283"/>
              <w:jc w:val="left"/>
              <w:rPr/>
            </w:pPr>
            <w:r>
              <w:rPr/>
              <w:t> </w:t>
            </w:r>
          </w:p>
        </w:tc>
      </w:tr>
      <w:tr>
        <w:trPr/>
        <w:tc>
          <w:tcPr>
            <w:tcW w:w="6443"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60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7"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60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2" w:type="dxa"/>
            <w:tcBorders/>
            <w:vAlign w:val="bottom"/>
          </w:tcPr>
          <w:p>
            <w:pPr>
              <w:pStyle w:val="TableContents"/>
              <w:bidi w:val="0"/>
              <w:spacing w:before="0" w:after="283"/>
              <w:jc w:val="left"/>
              <w:rPr/>
            </w:pPr>
            <w:r>
              <w:rPr/>
              <w:t> </w:t>
            </w:r>
          </w:p>
        </w:tc>
      </w:tr>
      <w:tr>
        <w:trPr/>
        <w:tc>
          <w:tcPr>
            <w:tcW w:w="6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Unrecognized tax benefits at beginning of year</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7" w:type="dxa"/>
            <w:tcBorders/>
            <w:shd w:fill="CCEEFF" w:val="clear"/>
            <w:vAlign w:val="bottom"/>
          </w:tcPr>
          <w:p>
            <w:pPr>
              <w:pStyle w:val="TableContents"/>
              <w:bidi w:val="0"/>
              <w:spacing w:before="0" w:after="283"/>
              <w:jc w:val="right"/>
              <w:rPr/>
            </w:pPr>
            <w:r>
              <w:rPr/>
              <w:t>(696</w:t>
            </w:r>
          </w:p>
        </w:tc>
        <w:tc>
          <w:tcPr>
            <w:tcW w:w="157"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7" w:type="dxa"/>
            <w:tcBorders/>
            <w:shd w:fill="CCEEFF" w:val="clear"/>
            <w:vAlign w:val="bottom"/>
          </w:tcPr>
          <w:p>
            <w:pPr>
              <w:pStyle w:val="TableContents"/>
              <w:bidi w:val="0"/>
              <w:spacing w:before="0" w:after="283"/>
              <w:jc w:val="right"/>
              <w:rPr/>
            </w:pPr>
            <w:r>
              <w:rPr/>
              <w:t>(599</w:t>
            </w:r>
          </w:p>
        </w:tc>
        <w:tc>
          <w:tcPr>
            <w:tcW w:w="162" w:type="dxa"/>
            <w:tcBorders/>
            <w:shd w:fill="CCEEFF" w:val="clear"/>
            <w:vAlign w:val="bottom"/>
          </w:tcPr>
          <w:p>
            <w:pPr>
              <w:pStyle w:val="TableContents"/>
              <w:bidi w:val="0"/>
              <w:spacing w:before="0" w:after="283"/>
              <w:jc w:val="left"/>
              <w:rPr/>
            </w:pPr>
            <w:r>
              <w:rPr/>
              <w:t>) </w:t>
            </w:r>
          </w:p>
        </w:tc>
      </w:tr>
      <w:tr>
        <w:trPr/>
        <w:tc>
          <w:tcPr>
            <w:tcW w:w="6443" w:type="dxa"/>
            <w:tcBorders/>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taken in the current year</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(78</w:t>
            </w:r>
          </w:p>
        </w:tc>
        <w:tc>
          <w:tcPr>
            <w:tcW w:w="157"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(97</w:t>
            </w:r>
          </w:p>
        </w:tc>
        <w:tc>
          <w:tcPr>
            <w:tcW w:w="162" w:type="dxa"/>
            <w:tcBorders/>
            <w:vAlign w:val="bottom"/>
          </w:tcPr>
          <w:p>
            <w:pPr>
              <w:pStyle w:val="TableContents"/>
              <w:bidi w:val="0"/>
              <w:spacing w:before="0" w:after="283"/>
              <w:jc w:val="left"/>
              <w:rPr/>
            </w:pPr>
            <w:r>
              <w:rPr/>
              <w:t>) </w:t>
            </w:r>
          </w:p>
        </w:tc>
      </w:tr>
      <w:tr>
        <w:trPr/>
        <w:tc>
          <w:tcPr>
            <w:tcW w:w="6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taken in the prior year</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443" w:type="dxa"/>
            <w:tcBorders/>
          </w:tcPr>
          <w:p>
            <w:pPr>
              <w:pStyle w:val="TableContents"/>
              <w:bidi w:val="0"/>
              <w:spacing w:before="0" w:after="0"/>
              <w:jc w:val="left"/>
              <w:rPr>
                <w:rFonts w:ascii="Times New Roman" w:hAnsi="Times New Roman"/>
                <w:sz w:val="20"/>
              </w:rPr>
            </w:pPr>
            <w:r>
              <w:rPr>
                <w:rFonts w:ascii="Times New Roman" w:hAnsi="Times New Roman"/>
                <w:sz w:val="20"/>
              </w:rPr>
              <w:t>Decreases based on tax positions taken in prior years</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443"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Unrecognized tax benefits at end of year</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7" w:type="dxa"/>
            <w:tcBorders/>
            <w:shd w:fill="CCEEFF" w:val="clear"/>
            <w:vAlign w:val="bottom"/>
          </w:tcPr>
          <w:p>
            <w:pPr>
              <w:pStyle w:val="TableContents"/>
              <w:bidi w:val="0"/>
              <w:spacing w:before="0" w:after="283"/>
              <w:jc w:val="right"/>
              <w:rPr/>
            </w:pPr>
            <w:r>
              <w:rPr/>
              <w:t>(774</w:t>
            </w:r>
          </w:p>
        </w:tc>
        <w:tc>
          <w:tcPr>
            <w:tcW w:w="157"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7" w:type="dxa"/>
            <w:tcBorders/>
            <w:shd w:fill="CCEEFF" w:val="clear"/>
            <w:vAlign w:val="bottom"/>
          </w:tcPr>
          <w:p>
            <w:pPr>
              <w:pStyle w:val="TableContents"/>
              <w:bidi w:val="0"/>
              <w:spacing w:before="0" w:after="283"/>
              <w:jc w:val="right"/>
              <w:rPr/>
            </w:pPr>
            <w:r>
              <w:rPr/>
              <w:t>(696</w:t>
            </w:r>
          </w:p>
        </w:tc>
        <w:tc>
          <w:tcPr>
            <w:tcW w:w="162" w:type="dxa"/>
            <w:tcBorders/>
            <w:shd w:fill="CCEEFF" w:val="clear"/>
            <w:vAlign w:val="bottom"/>
          </w:tcPr>
          <w:p>
            <w:pPr>
              <w:pStyle w:val="TableContents"/>
              <w:bidi w:val="0"/>
              <w:spacing w:before="0" w:after="283"/>
              <w:jc w:val="left"/>
              <w:rPr/>
            </w:pPr>
            <w:r>
              <w:rPr/>
              <w:t>) </w:t>
            </w:r>
          </w:p>
        </w:tc>
      </w:tr>
      <w:tr>
        <w:trPr/>
        <w:tc>
          <w:tcPr>
            <w:tcW w:w="6443"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unrecognized tax benefits as of April 30, 2024 are accounted for as a reduction in our deferred tax assets. Due to the valuation allowance, none of the $774 of unrecognized tax benefits would affect our effective tax rate, if recognized. We do not believe it is reasonably possible that our unrecognized tax benefits will significantly change in the next twelve months. We recognize interest and penalties related to unrecognized tax benefits as income tax expense. There were no accrued interest or penalties related to unrecognized tax benefits for the year ended April 30, 2024 or April 30, 2023. We do not expect any significant change in our unrecognized tax benefits during the next twelve months. </w:t>
      </w:r>
    </w:p>
    <w:p>
      <w:pPr>
        <w:pStyle w:val="TextBody"/>
        <w:bidi w:val="0"/>
        <w:spacing w:before="240" w:after="0"/>
        <w:jc w:val="left"/>
        <w:rPr>
          <w:rFonts w:ascii="Times New Roman" w:hAnsi="Times New Roman"/>
          <w:b/>
          <w:sz w:val="20"/>
        </w:rPr>
      </w:pPr>
      <w:r>
        <w:rPr>
          <w:rFonts w:ascii="Times New Roman" w:hAnsi="Times New Roman"/>
          <w:b/>
          <w:sz w:val="20"/>
        </w:rPr>
        <w:t xml:space="preserve">13. Commitments and Contingencies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Company may become involved in litigation relating to claims arising from the ordinary course of business. The Company considers the likelihood of loss or impairment of an asset, or the incurrence of a liability, as well as the ability to reasonably estimate the amount of loss, in determining loss contingencies. An estimated loss contingency is accrued when information available prior to issuance of the consolidated financial statements indicates that it is probable that an asset has been impaired or a liability has been incurred at the date of the consolidated financial statements, and the amount or range of loss can be reasonably estimated. Legal costs are expensed as incurred. Gain contingencies are not recognized until theyre realized or realizable.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2019, the Company applied for a refund from the State of Washington for Business and Occupation (B&amp;O) taxes paid in 2014. Management concluded the B&amp;O tax is not applicable as its only source of current income generated through a transfer pricing arrangement between Kestra Medical Technologies and West Affum Holdings Corp was not attributable to the State of Washington. In February 2020, the Company received the full tax refund for the year of 2014 in the amount of $25, and further applied for refunds of B&amp;O taxes for the subsequent years, totaling $1,600. Additionally, the Company ceased payments of B&amp;O taxes in Washington State beginning in 2020. In October 2021, the Washington State Department of Revenue (DOR) denied the Companys request for a refund. The Company is appealed the decision to DOR and received a favorable ruling in January of 2023. As a result, the Company received $1,800 from the DOR to include the amounts paid plus interest. The refund was recorded as Other Income within the Consolidated Statement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there is no accrual of such amounts as of April 30, 2024. The Company is unable to determine the maximum potential impact of these indemnifications on the future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Management believes that there are currently no other claims or actions pending against the Company where the ultimate disposition could have a material effect on the Companys results of operations, financial condition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14. Defined Contribution Plan </w:t>
      </w:r>
    </w:p>
    <w:p>
      <w:pPr>
        <w:pStyle w:val="TextBody"/>
        <w:bidi w:val="0"/>
        <w:spacing w:before="240" w:after="0"/>
        <w:jc w:val="left"/>
        <w:rPr>
          <w:rFonts w:ascii="Times New Roman" w:hAnsi="Times New Roman"/>
          <w:sz w:val="20"/>
        </w:rPr>
      </w:pPr>
      <w:r>
        <w:rPr>
          <w:rFonts w:ascii="Times New Roman" w:hAnsi="Times New Roman"/>
          <w:sz w:val="20"/>
        </w:rPr>
        <w:t xml:space="preserve">The Company sponsors a defined contribution retirement savings plan under Section 401(k) of the Internal Revenue Code of 1986, as amended (the 401(k) Plan), for its full-time employees, which covers all eligible employees in the United States. The 401(k) Plan provides for matching and discretionary contributions by the Company. For the years ended April 30, 2024 and 2023, matching and discretionary contributions by the Company totaled $1,345 and $1,017,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15. Net Loss Per Share Attributable to Common Stockholder </w:t>
      </w:r>
    </w:p>
    <w:p>
      <w:pPr>
        <w:pStyle w:val="TextBody"/>
        <w:bidi w:val="0"/>
        <w:spacing w:before="240" w:after="0"/>
        <w:jc w:val="left"/>
        <w:rPr>
          <w:rFonts w:ascii="Times New Roman" w:hAnsi="Times New Roman"/>
          <w:sz w:val="20"/>
        </w:rPr>
      </w:pPr>
      <w:r>
        <w:rPr>
          <w:rFonts w:ascii="Times New Roman" w:hAnsi="Times New Roman"/>
          <w:sz w:val="20"/>
        </w:rPr>
        <w:t xml:space="preserve">Basic net loss per share attributable to the common stockholder is calculated by dividing net loss by the weighted average number of shares of common stock outstanding during the year and excludes any dilutive effects of employee stock-based awards. Diluted net loss per share attributable to the common stockholder is computed giving effect to all potentially dilutive shares of common stock, including common stock issuable upon vesting of stock-based payment awards. For the years ended April 30, 2024 and 2023, the Company did not have any dilutive shares. For all years presented, there is no difference in the number of shares used to compute basic and diluted shares outstanding due to the Companys net loss position. </w:t>
      </w:r>
    </w:p>
    <w:p>
      <w:pPr>
        <w:pStyle w:val="TextBody"/>
        <w:bidi w:val="0"/>
        <w:spacing w:before="240" w:after="0"/>
        <w:jc w:val="left"/>
        <w:rPr>
          <w:rFonts w:ascii="Times New Roman" w:hAnsi="Times New Roman"/>
          <w:sz w:val="20"/>
        </w:rPr>
      </w:pPr>
      <w:r>
        <w:rPr>
          <w:rFonts w:ascii="Times New Roman" w:hAnsi="Times New Roman"/>
          <w:sz w:val="20"/>
        </w:rPr>
        <w:t xml:space="preserve">Potentially anti-dilutive shares excluded from the calculation of diluted net loss per share for the years ended April 30, 2024 and 2023 include 177,110 and 102,110 shares of redeemable preferred stock. Based on the conversion terms of the redeemable preferred stock and circumstances existing as of August 28, 2024, the Company is unable to quantify the quantity of shares of common stock the redeemable preferred stock is convertible into.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computation of basic and diluted net loss per share attributable to the common stockholder for the years ended </w:t>
      </w:r>
      <w:r>
        <w:rPr>
          <w:rFonts w:ascii="Times New Roman" w:hAnsi="Times New Roman"/>
          <w:i/>
          <w:sz w:val="20"/>
        </w:rPr>
        <w:t>(in thousands, except share and per share amounts)</w:t>
      </w:r>
      <w:r>
        <w:rPr>
          <w:rFonts w:ascii="Times New Roman" w:hAnsi="Times New Roman"/>
          <w:sz w:val="20"/>
        </w:rPr>
        <w:t xml:space="preserv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626"/>
        <w:gridCol w:w="334"/>
        <w:gridCol w:w="147"/>
        <w:gridCol w:w="907"/>
        <w:gridCol w:w="156"/>
        <w:gridCol w:w="334"/>
        <w:gridCol w:w="147"/>
        <w:gridCol w:w="863"/>
        <w:gridCol w:w="160"/>
      </w:tblGrid>
      <w:tr>
        <w:trPr/>
        <w:tc>
          <w:tcPr>
            <w:tcW w:w="5626"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26"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554" w:type="dxa"/>
            <w:gridSpan w:val="6"/>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April 30,</w:t>
            </w:r>
          </w:p>
        </w:tc>
        <w:tc>
          <w:tcPr>
            <w:tcW w:w="160" w:type="dxa"/>
            <w:tcBorders/>
            <w:vAlign w:val="bottom"/>
          </w:tcPr>
          <w:p>
            <w:pPr>
              <w:pStyle w:val="TableContents"/>
              <w:bidi w:val="0"/>
              <w:spacing w:before="0" w:after="283"/>
              <w:jc w:val="left"/>
              <w:rPr/>
            </w:pPr>
            <w:r>
              <w:rPr/>
              <w:t> </w:t>
            </w:r>
          </w:p>
        </w:tc>
      </w:tr>
      <w:tr>
        <w:trPr/>
        <w:tc>
          <w:tcPr>
            <w:tcW w:w="5626"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2024</w:t>
            </w:r>
          </w:p>
        </w:tc>
        <w:tc>
          <w:tcPr>
            <w:tcW w:w="156"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2023</w:t>
            </w:r>
          </w:p>
        </w:tc>
        <w:tc>
          <w:tcPr>
            <w:tcW w:w="160" w:type="dxa"/>
            <w:tcBorders/>
            <w:vAlign w:val="bottom"/>
          </w:tcPr>
          <w:p>
            <w:pPr>
              <w:pStyle w:val="TableContents"/>
              <w:bidi w:val="0"/>
              <w:spacing w:before="0" w:after="283"/>
              <w:jc w:val="left"/>
              <w:rPr/>
            </w:pPr>
            <w:r>
              <w:rPr/>
              <w:t> </w:t>
            </w:r>
          </w:p>
        </w:tc>
      </w:tr>
      <w:tr>
        <w:trPr/>
        <w:tc>
          <w:tcPr>
            <w:tcW w:w="562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2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w:t>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7" w:type="dxa"/>
            <w:tcBorders/>
            <w:vAlign w:val="bottom"/>
          </w:tcPr>
          <w:p>
            <w:pPr>
              <w:pStyle w:val="TableContents"/>
              <w:bidi w:val="0"/>
              <w:spacing w:before="0" w:after="283"/>
              <w:jc w:val="right"/>
              <w:rPr/>
            </w:pPr>
            <w:r>
              <w:rPr/>
              <w:t>(94,120</w:t>
            </w:r>
          </w:p>
        </w:tc>
        <w:tc>
          <w:tcPr>
            <w:tcW w:w="156"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(84,238</w:t>
            </w:r>
          </w:p>
        </w:tc>
        <w:tc>
          <w:tcPr>
            <w:tcW w:w="160" w:type="dxa"/>
            <w:tcBorders/>
            <w:vAlign w:val="bottom"/>
          </w:tcPr>
          <w:p>
            <w:pPr>
              <w:pStyle w:val="TableContents"/>
              <w:bidi w:val="0"/>
              <w:spacing w:before="0" w:after="283"/>
              <w:jc w:val="left"/>
              <w:rPr/>
            </w:pPr>
            <w:r>
              <w:rPr/>
              <w:t>) </w:t>
            </w:r>
          </w:p>
        </w:tc>
      </w:tr>
      <w:tr>
        <w:trPr/>
        <w:tc>
          <w:tcPr>
            <w:tcW w:w="5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Undeclared preferred dividends</w:t>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(6,721</w:t>
            </w:r>
          </w:p>
        </w:tc>
        <w:tc>
          <w:tcPr>
            <w:tcW w:w="156"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(2,499</w:t>
            </w:r>
          </w:p>
        </w:tc>
        <w:tc>
          <w:tcPr>
            <w:tcW w:w="160" w:type="dxa"/>
            <w:tcBorders/>
            <w:shd w:fill="CCEEFF" w:val="clear"/>
            <w:vAlign w:val="bottom"/>
          </w:tcPr>
          <w:p>
            <w:pPr>
              <w:pStyle w:val="TableContents"/>
              <w:bidi w:val="0"/>
              <w:spacing w:before="0" w:after="283"/>
              <w:jc w:val="left"/>
              <w:rPr/>
            </w:pPr>
            <w:r>
              <w:rPr/>
              <w:t>) </w:t>
            </w:r>
          </w:p>
        </w:tc>
      </w:tr>
      <w:tr>
        <w:trPr/>
        <w:tc>
          <w:tcPr>
            <w:tcW w:w="5626"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w:t>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7" w:type="dxa"/>
            <w:tcBorders/>
            <w:vAlign w:val="bottom"/>
          </w:tcPr>
          <w:p>
            <w:pPr>
              <w:pStyle w:val="TableContents"/>
              <w:bidi w:val="0"/>
              <w:spacing w:before="0" w:after="283"/>
              <w:jc w:val="right"/>
              <w:rPr/>
            </w:pPr>
            <w:r>
              <w:rPr/>
              <w:t>(100,841</w:t>
            </w:r>
          </w:p>
        </w:tc>
        <w:tc>
          <w:tcPr>
            <w:tcW w:w="156"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(86,737</w:t>
            </w:r>
          </w:p>
        </w:tc>
        <w:tc>
          <w:tcPr>
            <w:tcW w:w="160" w:type="dxa"/>
            <w:tcBorders/>
            <w:vAlign w:val="bottom"/>
          </w:tcPr>
          <w:p>
            <w:pPr>
              <w:pStyle w:val="TableContents"/>
              <w:bidi w:val="0"/>
              <w:spacing w:before="0" w:after="283"/>
              <w:jc w:val="left"/>
              <w:rPr/>
            </w:pPr>
            <w:r>
              <w:rPr/>
              <w:t>) </w:t>
            </w:r>
          </w:p>
        </w:tc>
      </w:tr>
      <w:tr>
        <w:trPr/>
        <w:tc>
          <w:tcPr>
            <w:tcW w:w="5626"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2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w:t>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105,808</w:t>
            </w:r>
          </w:p>
        </w:tc>
        <w:tc>
          <w:tcPr>
            <w:tcW w:w="156"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105,808</w:t>
            </w:r>
          </w:p>
        </w:tc>
        <w:tc>
          <w:tcPr>
            <w:tcW w:w="160" w:type="dxa"/>
            <w:tcBorders/>
            <w:shd w:fill="CCEEFF" w:val="clear"/>
            <w:vAlign w:val="bottom"/>
          </w:tcPr>
          <w:p>
            <w:pPr>
              <w:pStyle w:val="TableContents"/>
              <w:bidi w:val="0"/>
              <w:spacing w:before="0" w:after="283"/>
              <w:jc w:val="left"/>
              <w:rPr/>
            </w:pPr>
            <w:r>
              <w:rPr/>
              <w:t> </w:t>
            </w:r>
          </w:p>
        </w:tc>
      </w:tr>
      <w:tr>
        <w:trPr/>
        <w:tc>
          <w:tcPr>
            <w:tcW w:w="56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per share attributable to common stockholder</w:t>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(953</w:t>
            </w:r>
          </w:p>
        </w:tc>
        <w:tc>
          <w:tcPr>
            <w:tcW w:w="156"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(820</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Incentive Units issued and outstanding under an equity incentive plan that may be settled in common units of the Parent. The Parent also issued warrants in connection with the draws of the first and second tranches under the Term Loan and the first tranche under the Term Loan 2024 that may be settled in common units of the Parent. The Incentive Units and warrants are not considered participating securities as they do not participate in undistributed earnings of the Company and therefore, would not be included in the calculation of both the basic and diluted loss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16. Subsequent Events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subsequent events through the date the consolidated financial statements were available to be issued on August 28, 2024. </w:t>
      </w:r>
    </w:p>
    <w:p>
      <w:pPr>
        <w:pStyle w:val="TextBody"/>
        <w:bidi w:val="0"/>
        <w:spacing w:before="240" w:after="0"/>
        <w:jc w:val="left"/>
        <w:rPr>
          <w:rFonts w:ascii="Times New Roman" w:hAnsi="Times New Roman"/>
          <w:sz w:val="20"/>
        </w:rPr>
      </w:pPr>
      <w:r>
        <w:rPr>
          <w:rFonts w:ascii="Times New Roman" w:hAnsi="Times New Roman"/>
          <w:sz w:val="20"/>
        </w:rPr>
        <w:t xml:space="preserve">In May 2024, the Company received $12,500 from its stockholder in return for the issuance of preferred stock. In July 2024, the Company received $90,900 from its stockholder in return for the issuance of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The preferred stock issued by the Company in May and July has the same characteristics as described in Note 10. Also, in July of 2024, a subsidiary of the Company received $17,100 from a third-party investor in return for redeemable shares of the subsidiary. The Company incurred $3,780 in expenses that are considered payments on behalf of stockholder related to the funding transactions in July 2024. </w:t>
      </w:r>
    </w:p>
    <w:p>
      <w:pPr>
        <w:pStyle w:val="TextBody"/>
        <w:bidi w:val="0"/>
        <w:spacing w:before="240" w:after="0"/>
        <w:jc w:val="left"/>
        <w:rPr>
          <w:rFonts w:ascii="Times New Roman" w:hAnsi="Times New Roman"/>
          <w:sz w:val="20"/>
        </w:rPr>
      </w:pPr>
      <w:r>
        <w:rPr>
          <w:rFonts w:ascii="Times New Roman" w:hAnsi="Times New Roman"/>
          <w:sz w:val="20"/>
        </w:rPr>
        <w:t xml:space="preserve">In July 2024, the Company amended their lease agreement to allow for the use of $786, originally for tenant improvement allowances, to also be used for rent abatement at the Companys discretion. This is consistent with the $943 from the October 2023 amendment. </w:t>
      </w:r>
    </w:p>
    <w:p>
      <w:pPr>
        <w:pStyle w:val="TextBody"/>
        <w:bidi w:val="0"/>
        <w:spacing w:before="240" w:after="0"/>
        <w:jc w:val="left"/>
        <w:rPr>
          <w:rFonts w:ascii="Times New Roman" w:hAnsi="Times New Roman"/>
          <w:b/>
          <w:sz w:val="20"/>
        </w:rPr>
      </w:pPr>
      <w:r>
        <w:rPr>
          <w:rFonts w:ascii="Times New Roman" w:hAnsi="Times New Roman"/>
          <w:b/>
          <w:sz w:val="20"/>
        </w:rPr>
        <w:t xml:space="preserve">17. Subsequent Events (unaudited)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subsequent events from the date the consolidated financial statements were originally available to be issued on August 28, 2024 through December 11, 2024, the date the consolidated financial statements were available to be reissued.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it will not meet the revenue milestone required to draw on the second tranche of the Term Loan, which was potentially available on November 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8"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Through and including March 30, 2025 (25 days after the commencement of this offering),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 </w:t>
      </w:r>
    </w:p>
    <w:p>
      <w:pPr>
        <w:pStyle w:val="TextBody"/>
        <w:bidi w:val="0"/>
        <w:spacing w:before="1440" w:after="0"/>
        <w:jc w:val="center"/>
        <w:rPr>
          <w:rFonts w:ascii="Times New Roman" w:hAnsi="Times New Roman"/>
          <w:b/>
          <w:sz w:val="36"/>
        </w:rPr>
      </w:pPr>
      <w:r>
        <w:rPr>
          <w:rFonts w:ascii="Times New Roman" w:hAnsi="Times New Roman"/>
          <w:b/>
          <w:sz w:val="36"/>
        </w:rPr>
        <w:t xml:space="preserve">11,882,352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69410" cy="11480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169410" cy="11480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Shares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w:t>
      </w:r>
    </w:p>
    <w:p>
      <w:pPr>
        <w:pStyle w:val="TextBody"/>
        <w:pBdr>
          <w:bottom w:val="single" w:sz="2" w:space="1" w:color="000000"/>
        </w:pBdr>
        <w:bidi w:val="0"/>
        <w:spacing w:lineRule="atLeast" w:line="142" w:before="0" w:after="40"/>
        <w:jc w:val="center"/>
        <w:rPr/>
      </w:pPr>
      <w:r>
        <w:rPr/>
        <w:t> </w:t>
      </w:r>
    </w:p>
    <w:p>
      <w:pPr>
        <w:pStyle w:val="TextBody"/>
        <w:bidi w:val="0"/>
        <w:spacing w:before="1440" w:after="0"/>
        <w:jc w:val="center"/>
        <w:rPr>
          <w:rFonts w:ascii="Times New Roman" w:hAnsi="Times New Roman"/>
          <w:b/>
          <w:sz w:val="36"/>
        </w:rPr>
      </w:pPr>
      <w:r>
        <w:rPr>
          <w:rFonts w:ascii="Times New Roman" w:hAnsi="Times New Roman"/>
          <w:b/>
          <w:sz w:val="36"/>
        </w:rPr>
        <w:t xml:space="preserve">BofA Securities </w:t>
      </w:r>
    </w:p>
    <w:p>
      <w:pPr>
        <w:pStyle w:val="TextBody"/>
        <w:bidi w:val="0"/>
        <w:spacing w:before="240" w:after="0"/>
        <w:jc w:val="center"/>
        <w:rPr>
          <w:rFonts w:ascii="Times New Roman" w:hAnsi="Times New Roman"/>
          <w:b/>
          <w:sz w:val="36"/>
        </w:rPr>
      </w:pPr>
      <w:r>
        <w:rPr>
          <w:rFonts w:ascii="Times New Roman" w:hAnsi="Times New Roman"/>
          <w:b/>
          <w:sz w:val="36"/>
        </w:rPr>
        <w:t xml:space="preserve">Goldman Sachs &amp; Co. LLC </w:t>
      </w:r>
    </w:p>
    <w:p>
      <w:pPr>
        <w:pStyle w:val="TextBody"/>
        <w:bidi w:val="0"/>
        <w:spacing w:before="240" w:after="0"/>
        <w:jc w:val="center"/>
        <w:rPr>
          <w:rFonts w:ascii="Times New Roman" w:hAnsi="Times New Roman"/>
          <w:b/>
          <w:sz w:val="36"/>
        </w:rPr>
      </w:pPr>
      <w:r>
        <w:rPr>
          <w:rFonts w:ascii="Times New Roman" w:hAnsi="Times New Roman"/>
          <w:b/>
          <w:sz w:val="36"/>
        </w:rPr>
        <w:t xml:space="preserve">Piper Sandler </w:t>
      </w:r>
    </w:p>
    <w:p>
      <w:pPr>
        <w:pStyle w:val="TextBody"/>
        <w:bidi w:val="0"/>
        <w:spacing w:before="240" w:after="0"/>
        <w:jc w:val="center"/>
        <w:rPr>
          <w:rFonts w:ascii="Times New Roman" w:hAnsi="Times New Roman"/>
          <w:b/>
          <w:sz w:val="32"/>
        </w:rPr>
      </w:pPr>
      <w:r>
        <w:rPr>
          <w:rFonts w:ascii="Times New Roman" w:hAnsi="Times New Roman"/>
          <w:b/>
          <w:sz w:val="32"/>
        </w:rPr>
        <w:t xml:space="preserve">Wells Fargo Securities </w:t>
      </w:r>
    </w:p>
    <w:p>
      <w:pPr>
        <w:pStyle w:val="TextBody"/>
        <w:bidi w:val="0"/>
        <w:spacing w:before="240" w:after="0"/>
        <w:jc w:val="center"/>
        <w:rPr>
          <w:rFonts w:ascii="Times New Roman" w:hAnsi="Times New Roman"/>
          <w:b/>
          <w:sz w:val="32"/>
        </w:rPr>
      </w:pPr>
      <w:r>
        <w:rPr>
          <w:rFonts w:ascii="Times New Roman" w:hAnsi="Times New Roman"/>
          <w:b/>
          <w:sz w:val="32"/>
        </w:rPr>
        <w:t xml:space="preserve">Stifel </w:t>
      </w:r>
    </w:p>
    <w:p>
      <w:pPr>
        <w:pStyle w:val="TextBody"/>
        <w:bidi w:val="0"/>
        <w:spacing w:before="240" w:after="0"/>
        <w:jc w:val="center"/>
        <w:rPr>
          <w:rFonts w:ascii="Times New Roman" w:hAnsi="Times New Roman"/>
          <w:b/>
          <w:sz w:val="32"/>
        </w:rPr>
      </w:pPr>
      <w:r>
        <w:rPr>
          <w:rFonts w:ascii="Times New Roman" w:hAnsi="Times New Roman"/>
          <w:b/>
          <w:sz w:val="32"/>
        </w:rPr>
        <w:t xml:space="preserve">Wolfe | Nomura Alliance </w:t>
      </w:r>
    </w:p>
    <w:p>
      <w:pPr>
        <w:pStyle w:val="TextBody"/>
        <w:bidi w:val="0"/>
        <w:spacing w:before="1440" w:after="0"/>
        <w:jc w:val="center"/>
        <w:rPr>
          <w:rFonts w:ascii="Times New Roman" w:hAnsi="Times New Roman"/>
          <w:b/>
          <w:sz w:val="20"/>
        </w:rPr>
      </w:pPr>
      <w:r>
        <w:rPr>
          <w:rFonts w:ascii="Times New Roman" w:hAnsi="Times New Roman"/>
          <w:b/>
          <w:sz w:val="20"/>
        </w:rPr>
        <w:t xml:space="preserve">March 5, 2025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8" w:space="1" w:color="000000"/>
        </w:pBdr>
        <w:bidi w:val="0"/>
        <w:spacing w:lineRule="atLeast" w:line="142" w:before="0" w:after="4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5.jpeg"/><Relationship Id="rId8" Type="http://schemas.openxmlformats.org/officeDocument/2006/relationships/image" Target="media/image2.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280</Pages>
  <Words>159526</Words>
  <Characters>855545</Characters>
  <CharactersWithSpaces>1019663</CharactersWithSpaces>
  <Paragraphs>15586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