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333-291854</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 R O S P E C T U 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6,000,000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182245</wp:posOffset>
            </wp:positionV>
            <wp:extent cx="276034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selling 6,000,000 common shares, par value $1.00 per share (the “common shares”). Our common shares are listed on the Nasdaq Global Select Market (“Nasdaq”) under the symbol “KMTS.” On December 2, 2025, the last reported sale price of our common shares on Nasdaq was $23.01 per share.</w:t>
      </w:r>
    </w:p>
    <w:p>
      <w:pPr>
        <w:spacing w:after="0" w:line="176" w:lineRule="exact"/>
        <w:rPr>
          <w:sz w:val="24"/>
          <w:szCs w:val="24"/>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under applicable Securities and Exchange Commission (“SEC”) rules, we have elected to comply with certain reduced public company reporting and disclosure requirements. See “Prospectus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120" w:right="66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common shares involves risks that are described in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section beginning on page 19 of this prospectus and in the documents incorporated by reference into this prospectus.</w:t>
      </w:r>
    </w:p>
    <w:p>
      <w:pPr>
        <w:spacing w:after="0" w:line="183" w:lineRule="exact"/>
        <w:rPr>
          <w:sz w:val="24"/>
          <w:szCs w:val="24"/>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8,280,000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 (2)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129,720,000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the section titled “Underwriting” for additional information regarding underwriter compensation.</w:t>
      </w:r>
    </w:p>
    <w:p>
      <w:pPr>
        <w:spacing w:after="0" w:line="27" w:lineRule="exact"/>
        <w:rPr>
          <w:rFonts w:ascii="Times New Roman" w:cs="Times New Roman" w:eastAsia="Times New Roman" w:hAnsi="Times New Roman"/>
          <w:sz w:val="18"/>
          <w:szCs w:val="18"/>
          <w:color w:val="auto"/>
        </w:rPr>
      </w:pPr>
    </w:p>
    <w:p>
      <w:pPr>
        <w:ind w:left="540" w:right="80" w:hanging="424"/>
        <w:spacing w:after="0" w:line="260"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before expenses, to us presented in this table do not give effect to any exercise by the underwriters of the option we have granted to the underwriters to purchase additional shares of our common shares from us as described below.</w:t>
      </w:r>
    </w:p>
    <w:p>
      <w:pPr>
        <w:spacing w:after="0" w:line="181" w:lineRule="exact"/>
        <w:rPr>
          <w:sz w:val="24"/>
          <w:szCs w:val="24"/>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900,000 common shares, at the public offering price, less the underwriting discount, for 30 days from the date of this prospectus.</w:t>
      </w:r>
    </w:p>
    <w:p>
      <w:pPr>
        <w:spacing w:after="0" w:line="158" w:lineRule="exact"/>
        <w:rPr>
          <w:sz w:val="24"/>
          <w:szCs w:val="24"/>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regulatory body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Beneficial Ownership Act 2025 (the “BO Act”), no person shall become the beneficial owner of our common shares, each term as defined within the BO Act, without the approval of the Bermuda Registrar of Companies. However, for so long as our common shares are listed on an appointed stock exchange, which includes the Nasdaq Global Select Market, for the purposes of the Bermuda Companies Act, the issue and transfer of our common shares that are the subject of this offering to and between residents and non-residents of Bermuda, will be exempted from the application of the BO Act. This exemption would cease to apply if we were to cease to be listed on the Nasdaq Global Select Market or another appointed stock exchange.</w:t>
      </w:r>
    </w:p>
    <w:p>
      <w:pPr>
        <w:spacing w:after="0" w:line="18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common shares will be ready for delivery on or about December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20"/>
        <w:spacing w:after="0"/>
        <w:tabs>
          <w:tab w:leader="none" w:pos="2780" w:val="left"/>
          <w:tab w:leader="none" w:pos="5300" w:val="left"/>
          <w:tab w:leader="none" w:pos="814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Piper Sandler</w:t>
      </w:r>
      <w:r>
        <w:rPr>
          <w:sz w:val="20"/>
          <w:szCs w:val="20"/>
          <w:color w:val="auto"/>
        </w:rPr>
        <w:tab/>
      </w: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Goldman Sachs &amp; Co. LLC</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ectPr>
          <w:pgSz w:w="11900" w:h="16838" w:orient="portrait"/>
          <w:cols w:equalWidth="0" w:num="1">
            <w:col w:w="11140"/>
          </w:cols>
          <w:pgMar w:left="320" w:top="225" w:right="439" w:bottom="1440" w:gutter="0" w:footer="0" w:header="0"/>
        </w:sectPr>
      </w:pPr>
    </w:p>
    <w:p>
      <w:pPr>
        <w:spacing w:after="0" w:line="2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is December 2, 2025</w:t>
      </w:r>
    </w:p>
    <w:p>
      <w:pPr>
        <w:sectPr>
          <w:pgSz w:w="11900" w:h="16838" w:orient="portrait"/>
          <w:cols w:equalWidth="0" w:num="1">
            <w:col w:w="11140"/>
          </w:cols>
          <w:pgMar w:left="320" w:top="225"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9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1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720" w:type="dxa"/>
            <w:vAlign w:val="bottom"/>
            <w:gridSpan w:val="9"/>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720" w:type="dxa"/>
            <w:vAlign w:val="bottom"/>
            <w:tcBorders>
              <w:top w:val="single" w:sz="8" w:color="0000EE"/>
            </w:tcBorders>
            <w:gridSpan w:val="8"/>
          </w:tcPr>
          <w:p>
            <w:pPr>
              <w:spacing w:after="0"/>
              <w:rPr>
                <w:sz w:val="17"/>
                <w:szCs w:val="17"/>
                <w:color w:val="auto"/>
              </w:rPr>
            </w:pPr>
          </w:p>
        </w:tc>
        <w:tc>
          <w:tcPr>
            <w:tcW w:w="1480" w:type="dxa"/>
            <w:vAlign w:val="bottom"/>
            <w:gridSpan w:val="2"/>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5220" w:type="dxa"/>
            <w:vAlign w:val="bottom"/>
            <w:gridSpan w:val="11"/>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5320" w:type="dxa"/>
            <w:vAlign w:val="bottom"/>
            <w:gridSpan w:val="12"/>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5940" w:type="dxa"/>
            <w:vAlign w:val="bottom"/>
            <w:gridSpan w:val="16"/>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2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SHAREHOLDERS</w:t>
            </w:r>
          </w:p>
        </w:tc>
        <w:tc>
          <w:tcPr>
            <w:tcW w:w="4420" w:type="dxa"/>
            <w:vAlign w:val="bottom"/>
            <w:gridSpan w:val="8"/>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6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3620" w:type="dxa"/>
            <w:vAlign w:val="bottom"/>
            <w:gridSpan w:val="5"/>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68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BERMUDA, IRISH AND U.S. FEDERAL INCOME TAX CONSIDERATIONS</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6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340" w:type="dxa"/>
            <w:vAlign w:val="bottom"/>
            <w:gridSpan w:val="13"/>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6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 ACT 2025</w:t>
            </w:r>
          </w:p>
        </w:tc>
        <w:tc>
          <w:tcPr>
            <w:tcW w:w="2400" w:type="dxa"/>
            <w:vAlign w:val="bottom"/>
            <w:gridSpan w:val="4"/>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2940" w:type="dxa"/>
            <w:vAlign w:val="bottom"/>
            <w:gridSpan w:val="12"/>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ENFORCEMENT OF CIVIL LIABILITIES UNDER U.S. FEDERAL SECURITIES LAWS</w:t>
            </w: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150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We incorporate by reference important information into this prospectus. You may obtain the information incorporated by reference without charge by following the instructions under “Where You Can Find Additional Information.” You should carefully read this prospectus as well as additional information described under “Incorporation of Certain Information by Reference,” before deciding to invest in our common shares. In this prospectus, whenever we refer to information contained herein or this prospectus, it will be deemed to include the documents incorporated by reference herein.</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responsible for the information contained in this prospectus and in any free writing prospectus we prepare or authorize, if any.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the date on the cover of this prospectus.</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Persons who come into possession of this prospectus and any applicable free writing prospectus, if any, in jurisdictions outside the United States are required to inform themselves about and to observe any restrictions as to this offering and the distribution of this prospectus and any such free writing prospectus, if any, applicable to that jurisdiction.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4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7, 2025, Kestra Medical Technologies, Ltd., the issuer in this offering, completed its initial public offering of its common shares. Kestra Medical Technologies, Ltd. was formed solely for the purpose of completing the initial public offering and prior to the consummation of the initial public offering, did not engage in any business or activities other than those incidental to its formation, the organizational transactions consummated in connection with the initial public offering (the “Organizational Transactions”) and the preparation of the prospectus and registration statement in connection with the initial public offering. Prior to the consummation of the initial public offering, the Company’s business was conducted through West Affum Intermediate Holdings Corp. In connection with the initial public offering, the Organizational Transactions were completed, pursuant to which West Affum Intermediate Holdings Corp. became a wholly owned subsidiary of Kestra Medical Technologies, Ltd. West Affum Intermediate Holdings Corp. is the predecessor to Kestra Medical Technologies, Ltd. for financial reporting purposes. For more information on the Organizational Transactions, see Note 1 of the unaudited interim condensed consolidated financial statements and related notes included in our Quarterly Report on Form 10-Q for the quarterly period ended July 31, 2025 (the “Q1 Quarterly Report”) and Note 1 of the audited consolidated financial statements and related notes included in our Annual Report on Form 10-K for the fiscal year ended April 30, 2025 (the “2025 Annual Report”), each of which is incorporated by reference into this prospectus.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stated otherwise or the context otherwise requires the terms “we,” “us,” “our,” “our business,” “our company,” the “Company” and similar references herein refer: (1) prior to the consummation of the initial public offering of Kestra Medical Technologies, Ltd., to West Affum Intermediate Holdings and its consolidated subsidiaries and (2) at or following the consummation of the initial public offering of Kestra Medical Technologies, Ltd., to Kestra Medical Technologies, Ltd. and its consolidated subsidiaries.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industry data and market data included in this prospectus and in our 2025 Annual Report, incorporated by reference herein, were obtained from independent third-party surveys, market research, publicly available information, reports of governmental agencies and industry publications and surveys. Management’s estimates presented herein are based upon management’s analysis of internally compiled data, independent third-party surveys and industry publications prepared by a number of sources and other publicly available information. We obtained the industry and market data set forth in this prospectus and in our 2025 Annual Report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our knowledge of the industry and market, which we believe to be reasonable. We believe that the information from academic and industry publications, research, surveys and studies conducted by third parties included in this prospectus and in our 2025 Annual Report is reliable.</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our estimated total addressable market is based on epidemiology data regarding cardiac patient populations with low ejection fractions, payor data on WCD reimbursement rates, the average initial prescription duration for our ASSURE WCD and our estimates of the industry average initial prescription duration for WCDs generally. Our total addressable market in the United States is based on epidemiology data from third-party sources including the American Heart Association and the Heart Failure Society of America and the Medicare reimbursement rate for WCDs as of January 2025 as published in the Centers for Medicare and Medicaid Services (“CMS”) DMEPOS Fee Schedule. Our estimated total addressable market outside the United States is based on estimated average reimbursement rates and initial prescription durations for WCDs derived from internally collected data from industry sources and market participants and our internal estimates based on such data, as well as epidemiology data from third-party sources including PubMed, UptoDate, Statistica and the European Society of Cardiology in the following select international markets: Japan, Germany, United Kingdom, France, Italy, Spain, Canada, Poland, Australia, Romania, Netherlands, Belgium, Czech Republic, Sweden, Hungary, Austria, Switzerland and Denmark. These international markets were selected because they have already adopted WCD therapy or have a history of implantable cardioverter defibrillators (“ICD”) utilization. The industry in which we operate and the data related thereto are subject to a high degree of uncertainty and risk due to a variety of factors, including those described in the sections titled “Risk Factors” and “Special Note Regarding Forward-Looking Statements” in our 2025 Annual Report. These and other factors could cause results to differ materially from those expressed in the estimates, publications and reports made by the independent parties and by us. Forecasts and other forward-looking information with respect to the industry, business, market, and other data included in this prospectus are subject to the same qualifications and additional uncertainties regarding the other forward-looking statements in this prospectus. See “Special Note Regarding Forward-Looking Statements.”</w:t>
      </w:r>
    </w:p>
    <w:p>
      <w:pPr>
        <w:spacing w:after="0" w:line="19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in the text of this prospectus and in our 2025 Annual Report, incorporated by reference herein, is contained in independent industry publications. The source of these independent industry publications is provided below. These independent industry publications do not form part of this prospectus and are not incorporated by reference herein.</w:t>
      </w:r>
    </w:p>
    <w:p>
      <w:pPr>
        <w:spacing w:after="0" w:line="81" w:lineRule="exact"/>
        <w:rPr>
          <w:sz w:val="20"/>
          <w:szCs w:val="20"/>
          <w:color w:val="auto"/>
        </w:rPr>
      </w:pPr>
    </w:p>
    <w:p>
      <w:pPr>
        <w:ind w:left="1080" w:right="5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England Journal of Medicine, Wearable Cardioverter-Defibrillator after Myocardial Infarction, September 2018 (the “New England Journal of Medicine Study”);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Heart Association, Abstract 4141304: Clinical Impact of Ventricular and Supraventricular Arrhythmia Detection with a Novel Wearable Cardioverter Defibrillator, November 2024;</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Heart Association, Abstract 4141488: Initial Real-World Experience with a Novel Wearable Cardioverter Defibrillator, November 2024;</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Heart Association, Heart Disease and Stroke Statistics – 2023 Update: A Report From the American Heart Association, February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Heart Association, Left Ventricular Ejection Fraction Assessment Among Patients with Acute Myocardial Infarction and Its Association with Hospital Quality of Care and Evidence-Based Therapy Use, September 2012;</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Heart Association, Trends in Hospitalizations and Survival of Acute Decompensated Heart Failure in Four US Communities (2005-2014), July 2018;</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Heart Association, 2024 Heart Disease and Stroke Statistics: A Report of US and Global Data From the American Heart Association, February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Heart Journal, 2016 ESC Guidelines for the Diagnosis and Treatment of Acute and Chronic Heart Failure, May 2016;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Heart Failure Society of America, HF Stats 2024: Heart Failure Epidemiology and Outcomes Statistics, September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JAMA, Heart Failure with Reduced Ejection Fraction—A Review, August 2020;</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Cardiovascular Electrophysiology, Impact of Wearable Cardioverter-Defibrillator Compliance on Outcomes in the VEST Trial: As-Treated and Per-Protocol Analyses, February 2020;</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Cardiovascular Electrophysiology, A Wearable Cardioverter Defibrillator with a Low False Alarm Rate, January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Journal of Cardiology, The Sudden Death Following Hospitalization for Heart Failure with Reduced Ejection Fraction (From the Everest Trial), July 2018 (the “American Journal of Cardiology Study”);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Interventional Cardiac Electrophysiology, A Novel Artificial Intelligence Based Algorithm to Reduce Wearable Cardioverter-Defibrillator Alarms, February 2023 (the “Journal of Interventional Cardiac Electrophysiology Study”);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Cardiac Failure, HF STATS 2024: Heart Failure Epidemiology and Outcomes Statistics An Updated 2024 Report from the Heart Failure Society of America, September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Reviews Cardiology, Epidemiology of Heart Failure with Preserved Ejection Fraction, May 2017;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PLOS ONE, Defibrillation effectiveness and safety of the shock waveform used in a contemporary wearable cardioverter defibrillator: Results from animal and human studies, March 14,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SERVICE MARKS, TRADEMARKS AND TRADE NAMES</w:t>
      </w:r>
    </w:p>
    <w:p>
      <w:pPr>
        <w:spacing w:after="0" w:line="229"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includes references to trademarks and service marks for which we have obtained or applied for registration, such as ASSURE, ASSURE ASSIST, CARDIAC RECOVERY SYSTEM, KESTRA and KESTRA CARESTATION. This prospectus also contains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w:t>
      </w: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investing in our common shares, you should carefully read this entire prospectus, including the section titled “Risk Factors” and the information set forth in the sections titled “Risk Factors,” “Management’s Discussion and Analysis of Financial Condition and Results of Operations,” and our financial statements and the related notes thereto included in our 2025 Annual Report and our Q1 Quarterly Report, each incorporated by reference herein, before making an investment decision. This summary contains forward-looking statements that involve risks and uncertainties.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60" w:firstLine="426"/>
        <w:spacing w:after="0" w:line="252"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wearable cardioverter defibrillator (“WCD”) used to protect patients at an elevated risk of sudden cardiac arrest (“SCA”), a major public health problem that accounts for approximately 50% of all cardiovascular deaths in the U.S. The ASSURE WCD automatically monitors elevated risk patients and, if needed, delivers a defibrillation shock to return the patient’s heart to normal rhythm. The ASSURE WCD was purpose-built to enhance patient comfort and compliance and directly address the key barriers to adoption associated with the only other commercially available WCD. We believe the ASSURE WCD offers significant clinical and functional advantages, including greater patient compliance as a result of a major reduction in false alarms, enhanced comfort and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addresses serious unmet needs in the cardiac patient population and has the potential to disrupt and grow the market which has been limited to a single solution for more than 20 years. Additionally, as of October 2025, our ASSURE WCD has been worn by over 28,000 patients since it was commercially launched.</w:t>
      </w:r>
    </w:p>
    <w:p>
      <w:pPr>
        <w:spacing w:after="0" w:line="196"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SCA is a life-threatening emergency characterized by the abrupt cessation of the heartbeat caused by an electrical malfunction in the heart. This is typically triggered by ventricular arrhythmias, such as ventricular fibrillation (“VF”), and leads to a loss of consciousness and potentially death within minutes if not promptly treated. The American Heart Association (“AHA”) estimates that SCA causes approximately 436,000 deaths per year, making it the third leading cause of death in the U.S. Defibrillation, or an electrical shock, is the only way to restore a fibrillating heart to a normal rhythm. Each minute of delay in restoring the heart to a normal rhythm reduces a patient’s chance of survival by 7% to 10%. The average time for Emergency Medical Services (“EMS”) arrival is 7 minutes from the time of a 911 call, and often longer in rural communities. The most common location of a SCA in adults is at a home or residence, representing approximately 73% of SCAs. In addition, approximately 50% of all SCAs are unwitnessed.</w:t>
      </w:r>
    </w:p>
    <w:p>
      <w:pPr>
        <w:spacing w:after="0" w:line="192"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A WCD is a wearable, non-invasive miniaturized automated external defibrillator and is worn underneath regular clothing. The device continuously monitors a patient’s heart rhythm and is capable of delivering a defibrillation shock. Wires connect electrodes inside the garment to the monitor, which is carried in a small pack or shoulder bag. The electrodes continuously acquire a patient’s heart rate and rhythm for evaluation by the automated external defibrillator. If the monitor detects a potentially life-threatening arrhythmia, the WCD first alerts the patient via an audible alarm and then administers a shock, if needed.</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For over 20 years, WCDs have been used to protect patients at elevated risk of SCA. However, until the ASSURE WCD received Food and Drug Administration (“FDA”) approval in July of 2021, the market was limited to a single solution. Since the approval of the first WCD in 2001, global WCD revenues have grown to $1.3 billion in 2023, with approximately 85% of the revenues generated in the U.S. based on our analysis of third-party claims data and estimated average WCD wear prescription lengths and average reimbursement rates in the U.S. and in select international markets derived from industry data and internal estimates. The volume of patients prescribed a WCD in the U.S. grew at roughly 6% annually between 2021 and 2023, and we expect WCD revenues to continue growing.</w:t>
      </w:r>
    </w:p>
    <w:p>
      <w:pPr>
        <w:spacing w:after="0" w:line="18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Despite being proven as safe and effective in treating dangerous cardiac rhythms when worn, WCD therapy remains underutilized, reaching just 14% of the eligible U.S. patient population in 2023 based on data on patients indicated for a WCD and WCD prescription data from industry sources. We believe that the low penetration of WCD therapy is largely due to the limitations of the incumbent commercially available device. In feedback we have collected through directly engaging with patients and providers and customer feedback on public platforms, commonly cited reasons for patients or providers failing to use the competitor device include high false alarm frequency, poor wearability and patient discomfort, a unisex-only garment, low utility data and limited connectivity with patients. In the U.S., we estimate that there are approximately 800,000 cardiac patients each year who have experienced a myocardial infarction (“MI”) or are diagnosed with heart failure and have low Lef Ventricular Ejection Fraction (“LVEF”), therefore making them eligible for WCD therapy. Additionally, approximately 50,000 patients each year either have documented ventricular tachycardia (“VT”) or VF, an inherited genetic condition, or have had their ICD temporarily explanted, and are also indicated for WCDs. Based on an average WCD wear prescription length of 3.4 months per patient and an average Medicare reimbursement rate of $3,519 per patient per month, we believe this represents an approximately $10 billion annual addressable market as of 2024. The Medicare reimbursement rate for WCDs is expected to increase by 2.8% beginning in 2026 as a result of the Social Security Administration’s recent cost-of-living adjustment to Social Security benefits and Supplemental Security Income payments for 2026.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as of 2024. For a description of the international markets covered by this estimated market opportunity, see “Industry and Market Data.”</w:t>
      </w:r>
    </w:p>
    <w:p>
      <w:pPr>
        <w:spacing w:after="0" w:line="189"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The ASSURE WCD is the next generation of WCD therapy, delivering a safe and effective solution for patients with a design that enhances patient comfort and compliance. In addition to the ASSURE WCD, the various digital solutions and services of our Cardiac Recovery System platform include the ASSURE patient application, Kestra CareStation remote patient data platform, Heart Alert Services, and ASSURE Assist services. The ASSURE patient application engages patients with real-time mobile updates to promote compliance, while the Kestra CareStation remote patient data platform equips healthcare providers with actionable insights to support timely and informed care decisions. Heart Alert Services and ASSURE Assist services work together to enhance safety and are designed to provide critical alerts to healthcare providers for significant arrhythmias and notify emergency services when therapy is administered. This post-therapy EMS support is critical as a range of injuries, such as head injuries, soft tissue damage and bone fractures, can result from falling down after a SCA.</w:t>
      </w:r>
    </w:p>
    <w:p>
      <w:pPr>
        <w:spacing w:after="0" w:line="192"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In addition, the ASSURE wearable ECG as part of our Cardiac Recovery System platform provides monitoring and connectivity for patients no longer indicated for a WCD but who still require ongoing support while their heart continues to remodel. We believe we offer the most comprehensive and cohesive platform, with</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spacing w:after="0" w:line="282" w:lineRule="auto"/>
        <w:rPr>
          <w:sz w:val="20"/>
          <w:szCs w:val="20"/>
          <w:color w:val="auto"/>
        </w:rPr>
      </w:pPr>
      <w:r>
        <w:rPr>
          <w:rFonts w:ascii="Times New Roman" w:cs="Times New Roman" w:eastAsia="Times New Roman" w:hAnsi="Times New Roman"/>
          <w:sz w:val="18"/>
          <w:szCs w:val="18"/>
          <w:color w:val="auto"/>
        </w:rPr>
        <w:t>digital solutions and services that are seamlessly integrated with our ASSURE WCD, meaningfully differentiating our Cardiac Recovery System platform from the only other commercially available WCD.</w:t>
      </w:r>
    </w:p>
    <w:p>
      <w:pPr>
        <w:spacing w:after="0" w:line="162"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are building a body of clinical evidence supporting the safety, efficacy, and benefits of the ASSURE WCD, with eight publications completed to date. This growing portfolio includes our pivotal trials—the ASSURE WCD Clinical Evaluation-Detection and Safety Study (“ACE-DETECT”) and the ASSURE WCD Clinical Evaluation-Conversion Efficacy Study (“ACE-CONVERT”)—which served as the basis for our premarket approval (“PMA”). In addition, we have concluded the active surveillance post-approval study (“ACE-PAS”) as part of a broader ongoing ASSURE Patient Registry (the “Registry”). All patients prescribed the ASSURE WCD in the United States after August 5, 2022 are included in the Registry. As of October 2025, our ongoing Registry has enrolled over 28,000 patients. Primary results from ACE-PAS, announced in November 2025, include 21,612 patients enrolled from November 2021 through July 2025 across the United States and further validate the results of ACE-DETECT and ACE-CONVERT. Key outcomes include 100% successful conversion rate for VT and VF events and an inappropriate-shock rate of 0.0065 per patient-month, with only 6% of our patients experiencing a false alarm, compared to 46% for the competitor’s device. Among 16,441 patients who completed wear at data cut-off, median daily use was more than 23 hours per day, with one third of patients in the study continuing use beyond 90 days. The study also revealed that 2.6% of patients experienced at least one life-threatening VT or VF event within only a few months of being prescribed the ASSURE WCD, highlighting the importance of protection in this vulnerable population. The ASSURE system facilitated the detection of high-rate atrial fibrillation in 4.2% of patients (35% previously undiagnosed) and severe bradycardia or asystole in 0.3% of patients, enabling the potential for more timely intervention. These results underscore the ASSURE WCD’s competitive advantages in wearability, usability, and patient compliance, providing strong support for continued adoption. We believe this collection of real-world evidence will generate additional publications, continue to increase awareness of WCDs as a proven therapy for elevated risk cardiac patients and further demonstrate the clinical differentiation of our ASSURE WCD.</w:t>
      </w:r>
    </w:p>
    <w:p>
      <w:pPr>
        <w:spacing w:after="0" w:line="193"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have made material investments in infrastructure to support rapid growth and scalability, specifically in our commercial organization, distribution and supply chain capabilities, as well as revenue cycle management capabilities. In the U.S., as of October 31, 2025, we have built a commercial sales team of approximately 100 territory managers and more than 40 sales and clinical support professionals with deep expertise in cardiac rhythm management and established relationships in the cardiology and electrophysiology fields. This team is responsible for developing sales territory business plans, targeting and opening new accounts, and processing prescriptions of our ASSURE WCD. Our commercial sales team is supported by a contracted team of over 300 ASSURE Patient Specialists who assist patients with fitting and training as of April 30, 2025. At fitting, we deliver our ASSURE WCD from our distribution network to the patient. We utilize a lease business model, and when a patient’s wear time has concluded, the device is returned for reprocessing and reintroduction into the distribution network. To support our growth, we have developed a highly scalable supply chain in collaboration with experienced, top-tier medical technology suppliers. Our substantial investment in a fleet of devices, each with a capacity for approximately three patient wears per year, which are reprocessed through efficient reconditioning, enables the business to scale with an attractive unit economic profile. Finally, our revenue cycle management capabilities streamline reimbursement processes by ensuring claims are accurately prepared and submitted according to individual payor requirements, facilitating timely collections. These capabilities are a critical asset in driving operational efficiency and supporting both patient and prescriber satisfaction. We believe our significant investments in infrastructure create a high barrier to entry that will help us protect and grow our market share.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WCD therapy in the U.S. has well-defined reimbursement codes, steadily increasing Medicare payment rates and broad coverage from major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 payors. Reimbursement rates have continued to rise over the long term, reflecting growing recognition and support for this life-saving therapy.</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Strong prescriber demand and patient preference for the ASSURE WCD have driven broad payor coverage for the ASSURE WCD, with over</w:t>
      </w: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60"/>
        <w:spacing w:after="0" w:line="258" w:lineRule="auto"/>
        <w:rPr>
          <w:sz w:val="20"/>
          <w:szCs w:val="20"/>
          <w:color w:val="auto"/>
        </w:rPr>
      </w:pPr>
      <w:r>
        <w:rPr>
          <w:rFonts w:ascii="Times New Roman" w:cs="Times New Roman" w:eastAsia="Times New Roman" w:hAnsi="Times New Roman"/>
          <w:sz w:val="18"/>
          <w:szCs w:val="18"/>
          <w:color w:val="auto"/>
        </w:rPr>
        <w:t>290 million U.S. lives being currently covered via insurance contracts as of October 31, 2025, representing approximately 90% of the total available lives, including traditional Medicare, select state Medicaid programs, and national commercial insurers. Based on feedback from our payors, we believe that this reflects payors’ desire for a second choice to the competitor product, our solution addressing an unmet need with a female-specific garment and the overall patient compliance benefits of the ASSURE WCD. Our established payor relationships reduce our administrative burden in authorization and billing for our ASSURE WCD.</w:t>
      </w:r>
    </w:p>
    <w:p>
      <w:pPr>
        <w:spacing w:after="0" w:line="183"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since our full commercial launch, expanding our headcount from 66 team members in October 2020 to over 330 team members as of April 30, 2025. For the three months ended July 31, 2025, we generated revenue of $19.4 million, compared to revenue of $12.8 million for the three months ended July 31, 2024, representing 52.0% quarter-over-quarter growth. For the fiscal year ended April 30, 2025, we generated revenue of $59.8 million, compared to revenue of $27.8 million for the fiscal year ended April 30, 2024, representing 115% year-over-year growth. We incurred net losses of $25.8 million and $20.3 million for the three months ended July 31, 2025 and 2024, respectively. For the fiscal year ended April 30, 2025, we recognized a net loss of $113.8 million, compared to a net loss of $94.1 million for the fiscal year ended April 30, 2024. As of July 31, 2025, April 30, 2025 and 2024, we had an accumulated deficit of $546.1 million, $520.2 million and $406.4 million, respectively. For the three months ended July 31, 2025, we recognized a gross profit of $8.9 million compared to a gross profit of $4.2 million for the three months ended July 31, 2024. For the year ended April 30, 2025, we recognized a gross profit of $24.2 million compared to a gross profit of $0.4 million for the year ended April 30, 2024.</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Overview and Opportunity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Overview of Sudden Cardiac Arrest</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SCA is a major public health problem and accounts for approximately 50% of all cardiovascular deaths in the U.S. and commonly occurs in individuals with heart disease or those experiencing cardiac events. Several research studies indicate that low LVEF may be a sign of heart disease and is one of the greatest risk factors for SCA. Normal LVEF is typically between 50% and 70%. This means that during each heartbeat, 50% to 70% of the blood in the left ventricle is pumped out to the body. Low LVEF is typically considered 40% or less. According to the New England Journal of Medicine Study, patients with an LVEF of 30% or less were two times more likely to suffer from SCA compared to patients with an LVEF of more than 40%. The American Journal of Cardiology Study showed that the absolute risk of SCA is highest during the early period following a cardiac event, especially within the first 30 days. In this same study, each 5% decrease in LVEF was associated with a 21% increase in the risk of SCA during the first 30 days after an MI.</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WCD Therapy for Patients at Risk of SCA</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There are three main types of defibrillators: ICDs, external defibrillators (both manual and automated), and WCDs. An ICD is a small battery-powered device surgically placed in the chest that continuously checks the heartbeat and delivers electric shocks, when needed, to restore a regular heart rhythm. An external defibrillator is a portable device that uses two adhesive pads placed on the patient’s skin by a trained professional or a bystander to deliver an electric shock through the chest to the heart to restore a normal rhythm. An automated external defibrillator automatically detects a patient’s heart rhythm and delivers a shock while a manual external defibrillator requires the user to select a specific shock energy to be delivered to the patient. A WCD is an external wearable device that continuously monitors a patient’s heart rhythm. If it detects a potentially life-threatening arrhythmia, the WCD alerts the patient and, if necessary, automatically delivers a defibrillation shock to restore a normal heart rhythm.</w:t>
      </w:r>
    </w:p>
    <w:p>
      <w:pPr>
        <w:spacing w:after="0" w:line="192"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WCDs are typically prescribed to patients immediately following an MI or heart failure diagnosis and serve as a bridge to recovery between the cardiac event and a longer-term treatment regimen. During this period,</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312" w:lineRule="auto"/>
        <w:rPr>
          <w:sz w:val="20"/>
          <w:szCs w:val="20"/>
          <w:color w:val="auto"/>
        </w:rPr>
      </w:pPr>
      <w:r>
        <w:rPr>
          <w:rFonts w:ascii="Times New Roman" w:cs="Times New Roman" w:eastAsia="Times New Roman" w:hAnsi="Times New Roman"/>
          <w:sz w:val="17"/>
          <w:szCs w:val="17"/>
          <w:color w:val="auto"/>
        </w:rPr>
        <w:t>healthcare providers will optimize the patient’s medical therapy while also waiting to see if the patient’s LVEF improves. The expected wear duration of the WCD varies based on the patient indication, with the majority of our patients being prescribed the WCD for three months or longer.</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the Legacy, Commercially Available WCD</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WCD is indicated for use in patients who are at risk for SCA and are not candidates for, or refuse, an ICD. However, limitations of the only other commercially available WCD, such as patient comfort and false alarm rate, as well as gaps in awareness by healthcare providers of its broader diagnostic utility have led to underutilization of the therapy. Many indicated patients do not receive a prescription and some choose not to wear a WCD. Patients who choose not to wear a WCD are often left reliant on first responders or EMS in the event of a SCA. This reliance poses a significant risk, as only 16% of sudden cardiac events occur in public places where an automated external defibrillator might be available according to the American Heart Association. Based on data from the American Medical Association, the average time for EMS arrival is 7 minutes from the time of a 911 call, and often longer in rural communities. During this critical time, survival rates decline by 7% to 10% for every minute that passes.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21" w:lineRule="exact"/>
        <w:rPr>
          <w:sz w:val="20"/>
          <w:szCs w:val="20"/>
          <w:color w:val="auto"/>
        </w:rPr>
      </w:pPr>
    </w:p>
    <w:p>
      <w:pPr>
        <w:ind w:left="300" w:right="60" w:firstLine="426"/>
        <w:spacing w:after="0" w:line="269" w:lineRule="auto"/>
        <w:rPr>
          <w:sz w:val="20"/>
          <w:szCs w:val="20"/>
          <w:color w:val="auto"/>
        </w:rPr>
      </w:pPr>
      <w:r>
        <w:rPr>
          <w:rFonts w:ascii="Times New Roman" w:cs="Times New Roman" w:eastAsia="Times New Roman" w:hAnsi="Times New Roman"/>
          <w:sz w:val="17"/>
          <w:szCs w:val="17"/>
          <w:color w:val="auto"/>
        </w:rPr>
        <w:t>Since the approval of the first WCD in 2001, global WCD revenues have grown significantly, reaching over $1.3 billion in 2023, with approximately 85% of the revenues coming from the U.S. based on our analysis of third-party claims data and estimated average WCD wear prescription lengths and average reimbursement rates in the U.S. and in select international markets derived from industry data and internal estimates. Between 2021 and 2023, the volume of patients prescribed a WCD in the U.S. grew roughly 6% annually. We expect further penetration and growth of the WCD market, driven by increased awareness and education about WCD therapy, the expanded launch of our innovative and comprehensive solution, and the rapidly growing heart failure population, which will likely expand the number of patients at elevated risk of SCA and indicated for a WCD. Despite being available for over 20 years and proven effective in treating dangerous cardiac rhythms when worn by patients, the therapy has reached just 14% of eligible U.S. patients in 2023 based on data on patients indicated for a WCD and WCD prescription data from industry sources, highlighting a significant opportunity for growth. We attribute this low penetration to poor patient compliance, driven by the limitations of our competitor’s device. The ASSURE WCD, as part of our broader Cardiac Recovery System platform, is designed to prioritize patient comfort and compliance, addressing common barriers to acceptance experienced by the only other commercially available WCD.</w:t>
      </w:r>
    </w:p>
    <w:p>
      <w:pPr>
        <w:spacing w:after="0" w:line="182"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The WCD is indicated for use in patients who are at risk for SCA and are not candidates for, or refuse, an ICD. Medical guidelines recommend WCD use in those patients with a low LVEF and a recent MI, recent revascularization procedure or newly diagnosed nonischemic cardiomyopathy with heart failure symptoms. In addition, patients with documented VT or VF or an inherited genetic condition that places them at high risk for SCA, or patients who have had their ICD temporarily explanted are also indicated for WCDs. According to the AHA, approximately 1.8 million people in the U.S. each year experience a serious cardiac event, such as an MI, or are diagnosed with heart failure. Among these patients, around 800,000 patients have low LVEF, placing them at an elevated risk of SCA. Additionally, approximately 50,000 patients each year either have documented VT or VF, an inherited genetic condition, or have had their ICD temporarily explanted. Based on the foregoing annual incidences, the current Medicare reimbursement rate of $3,519 per patient per month as published in the Centers for Medicare and Medicaid Services (“CMS”) DMEPOS Fee Schedule in January 2025, and our average initial WCD prescription length of 3.4 months, we believe the total, annual addressable market in the U.S. for the ASSURE WCD is approximately $10 billion. On October 24, 2025, the Social Security Administration announced a 2.8% cost-of-living adjustment to Social Security benefits and Supplemental Security Income payments for 2026, with average Social Security retirement benefits to increase by approximately $56 per month</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500"/>
        <w:spacing w:after="0" w:line="282" w:lineRule="auto"/>
        <w:rPr>
          <w:sz w:val="20"/>
          <w:szCs w:val="20"/>
          <w:color w:val="auto"/>
        </w:rPr>
      </w:pPr>
      <w:r>
        <w:rPr>
          <w:rFonts w:ascii="Times New Roman" w:cs="Times New Roman" w:eastAsia="Times New Roman" w:hAnsi="Times New Roman"/>
          <w:sz w:val="18"/>
          <w:szCs w:val="18"/>
          <w:color w:val="auto"/>
        </w:rPr>
        <w:t>beginning in January 2026. As a result, we expect the reimbursement rate for Durable Medical Equipment under the DMEPOS Fee Schedule applicable to our ASSURE WCD to increase by 2.8% beginning in 2026.</w:t>
      </w:r>
    </w:p>
    <w:p>
      <w:pPr>
        <w:spacing w:after="0" w:line="162" w:lineRule="exact"/>
        <w:rPr>
          <w:sz w:val="20"/>
          <w:szCs w:val="20"/>
          <w:color w:val="auto"/>
        </w:rPr>
      </w:pPr>
    </w:p>
    <w:p>
      <w:pPr>
        <w:ind w:left="300" w:right="40" w:firstLine="426"/>
        <w:spacing w:after="0" w:line="252" w:lineRule="auto"/>
        <w:rPr>
          <w:sz w:val="20"/>
          <w:szCs w:val="20"/>
          <w:color w:val="auto"/>
        </w:rPr>
      </w:pPr>
      <w:r>
        <w:rPr>
          <w:rFonts w:ascii="Times New Roman" w:cs="Times New Roman" w:eastAsia="Times New Roman" w:hAnsi="Times New Roman"/>
          <w:sz w:val="18"/>
          <w:szCs w:val="18"/>
          <w:color w:val="auto"/>
        </w:rPr>
        <w:t>While our current commercial focus is on the U.S., approximately 15% of the global WCD revenues in 2023 were generated internationally, representing approximately $200 million, and that has primarily been concentrated in Western Europe where the market has been most developed, as well as in Japan.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as of 2024. For a description of the international markets covered by this estimated market opportunity, see “Industry and Market Data.” As of the date of this prospectus,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countries. We anticipate Western Europe to be our initial focus due to favorable market dynamics and our goal is to obtain regulatory approvals to begin distributing our ASSURE WCD in certain markets in Western Europe within the next three years.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ASSURE WCD is the cornerstone of our Cardiac Recovery System platform, a robust and extensible system integrating therapy, monitoring, and digital health solutions that represents the future of cardiac care. As a next generation of WCD therapy, the ASSURE WCD delivers a safe and effective solution for patients and was intentionally designed to enhance patient comfort and compliance and successfully resolve the key barriers to adoption associated with the only other commercially available WCD. The ASSURE WCD received FDA approval on July 27, 2021 for adult patients at elevated risk of SCA who are not candidates for, or decline, an ICD. As of October 2025, the ASSURE WCD has been worn by over 28,000 patients.</w:t>
      </w:r>
    </w:p>
    <w:p>
      <w:pPr>
        <w:spacing w:after="0" w:line="187"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In addition to the ASSURE WCD, our Cardiac Recovery System platform includes fully integrated digital solutions and services such as the ASSURE patient application, Kestra CareStation remote patient data platform, Heart Alert Services, and ASSURE Assist services, as well as the recently launched ASSURE wearable ECG. Cleared by the FDA on May 7, 2024, the ASSURE wearable ECG provides extended monitoring and valuable insights into a patient’s heart function after they are no longer indicated for a WCD. This non-therapeutic platform supports cardiac recovery monitoring using many of the same familiar features as the ASSURE WCD, ensuring continuity and ease of use for both patients and clinicians.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55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Our Solution</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Our Cardiac Recovery System platform offers notable benefits and an improved user-experience that differentiates it from the only other commercially available WCD. These benefits include:</w:t>
      </w:r>
    </w:p>
    <w:p>
      <w:pPr>
        <w:spacing w:after="0" w:line="63" w:lineRule="exact"/>
        <w:rPr>
          <w:sz w:val="20"/>
          <w:szCs w:val="20"/>
          <w:color w:val="auto"/>
        </w:rPr>
      </w:pPr>
    </w:p>
    <w:p>
      <w:pPr>
        <w:ind w:left="1240" w:right="40" w:hanging="415"/>
        <w:spacing w:after="0" w:line="25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Modern and advanced design to improve comfort, performance and maximize wearability. </w:t>
      </w:r>
      <w:r>
        <w:rPr>
          <w:rFonts w:ascii="Times New Roman" w:cs="Times New Roman" w:eastAsia="Times New Roman" w:hAnsi="Times New Roman"/>
          <w:sz w:val="18"/>
          <w:szCs w:val="18"/>
          <w:color w:val="auto"/>
        </w:rPr>
        <w:t>The garments were developed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athletic 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active surveillance post-approval study, ACE-PAS, which demonstrate a median wear time of greater than 23 hours per day. In addition to improving comfort and wearability, our unique garment design incorporates cushioned electrodes that are embedded in the fabric to improve electrode contact and, ultimately, improve electrocardiogram (“ECG”) signal quality.</w:t>
      </w:r>
    </w:p>
    <w:p>
      <w:pPr>
        <w:spacing w:after="0" w:line="88"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fidelity ECG leading to fewer false alarms. </w:t>
      </w:r>
      <w:r>
        <w:rPr>
          <w:rFonts w:ascii="Times New Roman" w:cs="Times New Roman" w:eastAsia="Times New Roman" w:hAnsi="Times New Roman"/>
          <w:sz w:val="18"/>
          <w:szCs w:val="18"/>
          <w:color w:val="auto"/>
        </w:rPr>
        <w:t>The ASSURE WCD is designed to minimize false alarms. The overall level of noise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reduced through use of resistive ECG electrodes that are cushioned and securely bonded to the fabric, custom shielded cables, and isolation circuitry. The ASSURE WCD also utilizes four channels of high-quality ECG, combined with Adaptive Patient Intelligence (“API”), a proprietary technology that adapts to the patient heart rhythm to filter out artifacts and improve performance even in a noisy environment. Primary results from ACE-PAS, announced in November 2025, which enrolled 21,612 patients across the United States, reported a low false alarm rate with only 6% of our patients experiencing a false alarm. This is compared to 46% of patients for the competitor’s device, as reported in the Journal of Interventional Cardiac Electrophysiology Study. Reduction in false alarms may lead to lower patient anxiety, improved patient satisfaction and increased patient compliance.</w:t>
      </w:r>
    </w:p>
    <w:p>
      <w:pPr>
        <w:spacing w:after="0" w:line="90" w:lineRule="exact"/>
        <w:rPr>
          <w:rFonts w:ascii="Times New Roman" w:cs="Times New Roman" w:eastAsia="Times New Roman" w:hAnsi="Times New Roman"/>
          <w:sz w:val="18"/>
          <w:szCs w:val="18"/>
          <w:color w:val="auto"/>
        </w:rPr>
      </w:pPr>
    </w:p>
    <w:p>
      <w:pPr>
        <w:ind w:left="1240" w:right="80" w:hanging="415"/>
        <w:spacing w:after="0" w:line="257"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innovations and integrated digital solutions and services supporting the patient throughout the cardiac care continuum. </w:t>
      </w:r>
      <w:r>
        <w:rPr>
          <w:rFonts w:ascii="Times New Roman" w:cs="Times New Roman" w:eastAsia="Times New Roman" w:hAnsi="Times New Roman"/>
          <w:sz w:val="18"/>
          <w:szCs w:val="18"/>
          <w:color w:val="auto"/>
        </w:rPr>
        <w:t>Our Cardiac Recovery System platform is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w:t>
      </w:r>
    </w:p>
    <w:p>
      <w:pPr>
        <w:spacing w:after="0" w:line="87" w:lineRule="exact"/>
        <w:rPr>
          <w:rFonts w:ascii="Times New Roman" w:cs="Times New Roman" w:eastAsia="Times New Roman" w:hAnsi="Times New Roman"/>
          <w:sz w:val="18"/>
          <w:szCs w:val="18"/>
          <w:color w:val="auto"/>
        </w:rPr>
      </w:pPr>
    </w:p>
    <w:p>
      <w:pPr>
        <w:ind w:left="1240" w:right="20" w:hanging="415"/>
        <w:spacing w:after="0" w:line="259"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energy delivery to enhance efficacy and safety. </w:t>
      </w:r>
      <w:r>
        <w:rPr>
          <w:rFonts w:ascii="Times New Roman" w:cs="Times New Roman" w:eastAsia="Times New Roman" w:hAnsi="Times New Roman"/>
          <w:sz w:val="18"/>
          <w:szCs w:val="18"/>
          <w:color w:val="auto"/>
        </w:rPr>
        <w:t>The ASSURE WCD delivers a 170 joule shock to better serve patients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defibrillation thresholds, compared to the competitor device which delivers a 150 joule shock. In addition, our system has a minimum defibrillation capacity of 25 shocks, providing a significant safety buffer for patients experiencing multiple cardiac events within a short time period, such as a VT storm, where a patient experiences multiple episodes of sustained VT within a short period of time.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Success Factors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continued growth of our company will be driven by the following success factors:</w:t>
      </w:r>
    </w:p>
    <w:p>
      <w:pPr>
        <w:spacing w:after="0" w:line="13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growing, and underpenetrated WCD market with a single competitor;</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innovative Cardiac Recovery System platform designed to protect patients from SCA and improve patient compliance and healthcare provider adoption;</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and fully integrated suite of mission critical digital solutions and services for driving patient and healthcare provider engagement;</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767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3767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investments in infrastructure to support rapid growth and scale;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reimbursement and favorable payor coverage;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and compelling body of clinical evidence;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research and development capabilities and a robust intellectual property portfolio;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experienced management team and board with proven commercial growth success.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To fully achieve our mission of providing innovative, intuitive medical technologies to protect and support at-risk patients, we intend to pursue the following growth strategies:</w:t>
      </w:r>
    </w:p>
    <w:p>
      <w:pPr>
        <w:spacing w:after="0" w:line="67"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capture share of the current WCD prescriptions in the U.S.;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adoption of our Cardiac Recovery System platform in the U.S. to increase the penetration of the U.S. total addressable WCD market;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upon our strong base of clinical evidence;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payor engagement to broaden coverage and increase reimbursement;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our system and bolster our digital healthcare platform and data management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gross profit expansion and operating leverage;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expansion in international markets;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pursue adjacent markets with new products offerings and differentiated services.</w:t>
      </w:r>
    </w:p>
    <w:p>
      <w:pPr>
        <w:spacing w:after="0" w:line="34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320" w:top="455" w:right="7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estimated selected financial results as of and for the three months ended October 31, 2025</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Included below are certain preliminary estimated selected unaudited financial results of the Company as of and for the three months ended October 31, 2025 and actual unaudited financial results of the Company for the three months ended October 31, 2024. The results as of and for the three months ended October 31, 2025 are preliminary and subject to change, and there is a possibility that our actual results may differ from these preliminary estimates.</w:t>
      </w:r>
    </w:p>
    <w:p>
      <w:pPr>
        <w:spacing w:after="0" w:line="180"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The preliminary financial data included in this prospectus has been prepared by, and is the responsibility of, our management. PricewaterhouseCoopers LLP has not audited, reviewed, examined, compiled, nor applied agreed-upon procedures with respect to the preliminary financial data. Accordingly, PricewaterhouseCoopers LLP does not express an opinion or any other form of assurance with respect thereto. These preliminary estimated results should not be viewed as a substitute for financial statements prepared in accordance with U.S. generally accepted accounting principles. Moreover, this data has been prepared solely on the basis of currently available information by, and are the responsibility of, management. It is possible that we or our independent registered public accounting firm may identify items that would require us to make adjustments to the preliminary estimates set forth below as we complete our financial statements and that our actual results may differ from these preliminary estimates. Accordingly, we have provided ranges, rather than specific amounts, for the preliminary estimated results described below. Except as required by law, we undertake no obligation to update or supplement the preliminary estimated results below until we release our results of operations as of and for the three months ended October 31, 2025, which will not occur until after this offering is completed. These preliminary estimates are not necessarily indicative of any future period and should be read together with section titled “Special Note Regarding Forward-Looking Statements,” included elsewhere in this prospectus, and the sections titled “Risk Factors,” “Special Note Regarding Forward-Looking Statements,” “Management’s Discussion and Analysis of Financial Condition and Results of Operations,” and our financial statements and related notes thereto included in our 2025 Annual Report and in our Q1 Quarterly Report, each incorporated by reference herein.</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Estimated 2025</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Actual 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 (Low)</w:t>
            </w:r>
          </w:p>
        </w:tc>
        <w:tc>
          <w:tcPr>
            <w:tcW w:w="1000" w:type="dxa"/>
            <w:vAlign w:val="bottom"/>
            <w:tcBorders>
              <w:bottom w:val="single" w:sz="8" w:color="auto"/>
            </w:tcBorders>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 (High)</w:t>
            </w: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Operations and Comprehensive Loss Data:</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22,200</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22,600</w:t>
            </w:r>
          </w:p>
        </w:tc>
        <w:tc>
          <w:tcPr>
            <w:tcW w:w="28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11,000</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11,400</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31,600</w:t>
            </w: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32,000</w:t>
            </w:r>
          </w:p>
        </w:tc>
        <w:tc>
          <w:tcPr>
            <w:tcW w:w="280" w:type="dxa"/>
            <w:vAlign w:val="bottom"/>
          </w:tcPr>
          <w:p>
            <w:pPr>
              <w:spacing w:after="0"/>
              <w:rPr>
                <w:sz w:val="20"/>
                <w:szCs w:val="20"/>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2025, we expect preliminary unaudited revenue to be between $22.2 million and $22.6 million, compared to revenue of $14.7 million for the three months ended October 31, 2024, an increase of 52% based on the midpoint of the foregoing range. The estimated increase in revenue was primarily driven by an increase in the number of patients using our products while reimbursement rates remained largely flat.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For the three months ended October 31, 2025, we expect preliminary unaudited gross profit to be between $11.0 million and $11.4 million, compared to gross profit of $5.8 million for the three months ended October 31,</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320" w:top="455" w:right="6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78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00"/>
        <w:spacing w:after="0" w:line="266" w:lineRule="auto"/>
        <w:rPr>
          <w:sz w:val="20"/>
          <w:szCs w:val="20"/>
          <w:color w:val="auto"/>
        </w:rPr>
      </w:pPr>
      <w:r>
        <w:rPr>
          <w:rFonts w:ascii="Times New Roman" w:cs="Times New Roman" w:eastAsia="Times New Roman" w:hAnsi="Times New Roman"/>
          <w:sz w:val="18"/>
          <w:szCs w:val="18"/>
          <w:color w:val="auto"/>
        </w:rPr>
        <w:t>2024, an increase of 92% based on the midpoint of the foregoing range. The estimated increase in gross profit was primarily due to growth in total revenue and a decrease in cost of revenues per patient by 20% due to improvements in the utilization of our rental pool of medical equipment and lower disposable costs driven by volume and implementation of manufacturing cost improvement programs.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2025, we expect preliminary unaudited gross margin to be 50.0% based on the midpoint of the ranges of our preliminary unaudited revenue and preliminary unaudited gross profit, compared to gross margin of 39.6% for the three months ended October 31, 2024.</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For the three months ended October 31, 2025, we expect preliminary unaudited loss from operations to be between $31.6 million and $32.0 million compared to loss from operations of $19.1 million for the three months ended October 31, 2024. The increase was attributable to increases in personnel expenses such as salaries, benefits, and share-based compensation, resulting from an increase in headcount to support commercial growth.</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October 31, 2025, we expect cash and cash equivalents to be approximately $175 million.</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An investment in our common shares involves substantial risks and uncertainties that may adversely affect our business, financial condition, results of operations and prospects. Before deciding to invest in our common shares, you should carefully consider all of the risks, uncertainties and challenges described in the sections of this prospectus and our 2025 Annual Report titled “Risk Factors” and all of the other information in this prospectus and in our 2025 Annual Report and our Q1 Quarterly Report. These risks, uncertainties and challenges include, but are not limited to, the following:</w:t>
      </w:r>
    </w:p>
    <w:p>
      <w:pPr>
        <w:spacing w:after="0" w:line="89" w:lineRule="exact"/>
        <w:rPr>
          <w:sz w:val="20"/>
          <w:szCs w:val="20"/>
          <w:color w:val="auto"/>
        </w:rPr>
      </w:pPr>
    </w:p>
    <w:p>
      <w:pPr>
        <w:ind w:left="1240" w:right="12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12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there is no assurance as to when we will achieve profitability, if at all, even as we continue to grow and scale our business. As part of such continued growth, we may need to raise equity or debt financing in the future. If we are unable to raise capital when needed, we may be forced to delay or scale back our growth plans, which could materially and adversely affect our results of operations and prospects;</w:t>
      </w:r>
    </w:p>
    <w:p>
      <w:pPr>
        <w:spacing w:after="0" w:line="85"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primarily from the lease of our ASSURE WCD as part of our Cardiac Recovery System platform, and we are therefore highly dependent on our ASSURE WCD for our continued success;</w:t>
      </w:r>
    </w:p>
    <w:p>
      <w:pPr>
        <w:spacing w:after="0" w:line="67"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healthcare providers, hospitals and patients adopting our solutions, and if we fail to obtain and maintain broad adoption, our business would be adversely affected;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anticipated growth of our business, our future revenue and operating results may be harmed;</w:t>
      </w:r>
    </w:p>
    <w:p>
      <w:pPr>
        <w:spacing w:after="0" w:line="130"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study initiatives may be complex, lengthy, expensive and carry uncertain outcomes. Future trials and studies by us or others may fail to replicate positive results observed to date;</w:t>
      </w:r>
    </w:p>
    <w:p>
      <w:pPr>
        <w:spacing w:after="0" w:line="67" w:lineRule="exact"/>
        <w:rPr>
          <w:rFonts w:ascii="Times New Roman" w:cs="Times New Roman" w:eastAsia="Times New Roman" w:hAnsi="Times New Roman"/>
          <w:sz w:val="18"/>
          <w:szCs w:val="18"/>
          <w:color w:val="auto"/>
        </w:rPr>
      </w:pPr>
    </w:p>
    <w:p>
      <w:pPr>
        <w:ind w:left="1240" w:right="240" w:hanging="415"/>
        <w:spacing w:after="0" w:line="312" w:lineRule="auto"/>
        <w:tabs>
          <w:tab w:leader="none" w:pos="1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a limited number of third-party suppliers and contract manufacturers to manufacture and recondition our ASSURE WCD and its components, which could make us vulnerable to supply shortages and price fluctuations that could harm our business;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products is complex, and we must dedicate substantial time and resources to the billing process;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are able to develop or market products and services that are more effective, or gain greater acceptance in the marketplace, than any products and services we develop, our commercial opportunities will be reduced or eliminated;</w:t>
      </w:r>
    </w:p>
    <w:p>
      <w:pPr>
        <w:spacing w:after="0" w:line="67"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If our remediation of material weaknesses in our internal control over financial reporting is not effective, or we fail to develop and maintain effective internal control over financial reporting, our ability to produce timely and accurate financial statements could be impaired, which could harm our business and negatively impact the value of our common shares;</w:t>
      </w:r>
    </w:p>
    <w:p>
      <w:pPr>
        <w:spacing w:after="0" w:line="85"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that we are employing their intellectual property and other proprietary technology without authorization, and we may become a party to litigation or administrative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44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844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460"/>
        <w:spacing w:after="0" w:line="282" w:lineRule="auto"/>
        <w:rPr>
          <w:sz w:val="20"/>
          <w:szCs w:val="20"/>
          <w:color w:val="auto"/>
        </w:rPr>
      </w:pPr>
      <w:r>
        <w:rPr>
          <w:rFonts w:ascii="Times New Roman" w:cs="Times New Roman" w:eastAsia="Times New Roman" w:hAnsi="Times New Roman"/>
          <w:sz w:val="18"/>
          <w:szCs w:val="18"/>
          <w:color w:val="auto"/>
        </w:rPr>
        <w:t>proceedings related to intellectual property that could be costly, time-consuming, or unsuccessful and could hinder our ability to commercialize our existing or future products;</w:t>
      </w:r>
    </w:p>
    <w:p>
      <w:pPr>
        <w:spacing w:after="0" w:line="67" w:lineRule="exact"/>
        <w:rPr>
          <w:sz w:val="20"/>
          <w:szCs w:val="20"/>
          <w:color w:val="auto"/>
        </w:rPr>
      </w:pPr>
    </w:p>
    <w:p>
      <w:pPr>
        <w:ind w:left="1240" w:right="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obtain intellectual property protection and the intellectual property rights we obtain may be inadequate, and our business may be adversely affected as a result;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may make it more difficult and costly for us to manufacture, market or distribute our products, or to obtain approval for any future products;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healthcare and other governmental regulations, we could face substantial penalties and our business, results of operations and financial condition could be adversely affected;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has significant influence over us, and its interests may conflict with ours or yours.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For so long as we remain an emerging growth company, we may rely on the following provisions of the JOBS Act that contain exceptions from disclosure and other requirements that otherwise are applicable to companies that conduct initial public offerings and file periodic reports with the SEC. These provisions include, but are not limited to:</w:t>
      </w:r>
    </w:p>
    <w:p>
      <w:pPr>
        <w:spacing w:after="0" w:line="85" w:lineRule="exact"/>
        <w:rPr>
          <w:sz w:val="20"/>
          <w:szCs w:val="20"/>
          <w:color w:val="auto"/>
        </w:rPr>
      </w:pPr>
    </w:p>
    <w:p>
      <w:pPr>
        <w:ind w:left="12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 in the assessment of our internal control over financial reporting;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adoption of new or revised accounting standards until those standards apply to private companies;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requirement of the Public Company Accounting Oversight Board regarding the communication of critical audit matters in the auditor’s report on financial statements; and</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that follows the fifth anniversary of our initial public offering;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spacing w:after="0" w:line="187"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other reduced reporting requirements in our filings with the SEC. As a result, the information that we provide to our shareholders may be different than what you might receive from other public reporting companies in which you hold equity interests.</w:t>
      </w:r>
    </w:p>
    <w:p>
      <w:pPr>
        <w:spacing w:after="0" w:line="176"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We have elected to avail ourselves of the provision of the JOBS Act that permits emerging growth companies to take advantage of an extended transition period to comply with new or revised accounting</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standards applicable to public companies. As a result, we will not be subject to new or revised accounting standards at the same time as other public companies that are not emerging growth companies. As a result of these elections, our financial statements may not be comparable to those of public companies that comply with such new or revised accounting standards.</w:t>
      </w:r>
    </w:p>
    <w:p>
      <w:pPr>
        <w:spacing w:after="0" w:line="17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w:t>
      </w:r>
    </w:p>
    <w:p>
      <w:pPr>
        <w:spacing w:after="0" w:line="192"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For additional information, see the section titled “Risk Factors—Risks Related to this Offering—We are an emerging growth company and a smaller reporting company, and our compliance with the reduced reporting and disclosure requirements applicable to emerging growth companies and smaller reporting companies could make our common shares less attractive to investors.”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Principal Shareholder</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Bain Capital</w:t>
      </w:r>
    </w:p>
    <w:p>
      <w:pPr>
        <w:spacing w:after="0" w:line="121" w:lineRule="exact"/>
        <w:rPr>
          <w:sz w:val="20"/>
          <w:szCs w:val="20"/>
          <w:color w:val="auto"/>
        </w:rPr>
      </w:pPr>
    </w:p>
    <w:p>
      <w:pPr>
        <w:jc w:val="both"/>
        <w:ind w:left="300" w:firstLine="426"/>
        <w:spacing w:after="0" w:line="256" w:lineRule="auto"/>
        <w:rPr>
          <w:sz w:val="20"/>
          <w:szCs w:val="20"/>
          <w:color w:val="auto"/>
        </w:rPr>
      </w:pPr>
      <w:r>
        <w:rPr>
          <w:rFonts w:ascii="Times New Roman" w:cs="Times New Roman" w:eastAsia="Times New Roman" w:hAnsi="Times New Roman"/>
          <w:sz w:val="18"/>
          <w:szCs w:val="18"/>
          <w:color w:val="auto"/>
        </w:rPr>
        <w:t>Founded in 1984, Bain Capital, L.P. is one of the world’s leading private investment firms. Bain Capital, L.P. is committed to creating lasting impact for its investors, teams, businesses, and the communities in which we live. As a private partnership, Bain Capital, L.P. leads with conviction and a culture of collaboration, advantages that enable it to innovate investment approaches, unlock opportunities, and create exceptional outcomes. Bain Capital, L.P.’s global platform invests across five focus areas: Private Equity, Growth &amp; Venture, Capital Solutions, Credit &amp; Capital Markets, and Real Assets. In these focus areas, Bain Capital, L.P. brings deep sector expertise and wide-ranging capabilities. Bain Capital, L.P. has 25 offices on four continents, more than 1,850 employees, and approximately $185 billion in assets under management.</w:t>
      </w:r>
    </w:p>
    <w:p>
      <w:pPr>
        <w:spacing w:after="0" w:line="187"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Bain Capital Private Equity, L.P. and Bain Capital Life Sciences, L.P., each an affiliate of Bain Capital, L.P. (collectively with Bain Charger Holdings, L.P., “Bain Capital”), have made nearly 1,000 investments in a variety of industries around the world. Bain Capital has a long and successful history of investing in healthcare businesses and has a dedicated group of investment professionals focused on the sector. Bain Capital has helped to build and scale many leading companies in the healthcare industry, including Aveanna Healthcare, Cerevel Therapeutics, Grupo NotreDame Intermedica, Gynesonics, Imperative Care, HCA, IQVIA, JenaValve, Physio-Control, QuVa Pharma, STADA, Surgery Partners, US Renal Care, Waystar, HeartFlow, Affera and Zelis.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Kestra Medical Technologies, Ltd. was incorporated as a Bermuda exempted company on May 20, 2021. Our principal office is located at 3933 Lake Washington Blvd NE, Suite 200, Kirkland, Washington 98033, and our registered office is located in Bermuda at Cumberland House, 7th Floor, 1 Victoria Street, Hamilton HM 11, Bermuda. Our telephone number is (425) 279-8002. Our website address is https://www.kestramedical.com. The information contained on, or accessible through, our website is not incorporated by reference into this prospectus, and you should not consider any information contained on, or that can be accessed through, our website as part of this prospectus or in deciding whether to purchase our common shares. We are a holding company and all of our business operations are conducted through our subsidiaries.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Offered by Us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6,000,000 common shares.</w:t>
            </w:r>
          </w:p>
        </w:tc>
      </w:tr>
      <w:tr>
        <w:trPr>
          <w:trHeight w:val="454"/>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an additional 900,000 common</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at the public offering price, less the underwriting discount, for 30 days from the</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date of this prospectus.</w:t>
            </w:r>
          </w:p>
        </w:tc>
      </w:tr>
      <w:tr>
        <w:trPr>
          <w:trHeight w:val="437"/>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to be Outstanding Immediately</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57,348,656 common shares (or 58,248,656 common shares if the underwriters exercise in</w:t>
            </w:r>
          </w:p>
        </w:tc>
      </w:tr>
      <w:tr>
        <w:trPr>
          <w:trHeight w:val="238"/>
        </w:trPr>
        <w:tc>
          <w:tcPr>
            <w:tcW w:w="40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full their option to purchase additional shares).</w:t>
            </w:r>
          </w:p>
        </w:tc>
      </w:tr>
      <w:tr>
        <w:trPr>
          <w:trHeight w:val="454"/>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6,000,000 common shares in this</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offering will be approximately $129.0 million, or $147.7 million if the underwriters</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exercise their option to purchase 900,000 additional shares in full, after deducting the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costs incurred by us. We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intend to use the net proceeds from this offering, together with our existing cash, to scale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up our commercial organization through the hiring of additional sales representatives, sales</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team leadership and clinical care specialists, as well as continued investments in our fleet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of devices, supply chain and revenue cycle management capabilities. We also intend to use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 portion of the net proceeds to further fund our research and development and continued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clinical development costs to support innovation in our products and fund trials to build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upon our strong base of clinical evidence. Any remaining net proceeds will be used for</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working capital and general corporate purposes.</w:t>
            </w:r>
          </w:p>
        </w:tc>
      </w:tr>
      <w:tr>
        <w:trPr>
          <w:trHeight w:val="459"/>
        </w:trPr>
        <w:tc>
          <w:tcPr>
            <w:tcW w:w="40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See “Use of Proceeds” for more information.</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have not historically declared or paid any dividends on our common shares. We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anticipate that we will retain all of our future earnings, if any, for use in the operation and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expansion of our business and do not anticipate paying cash dividends in the foreseeable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future. Any decision to declare and pay dividends in the future will be made at the sole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discretion of our board of directors (the “Board of Directors”) and will depend on, among</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things, our results of operations, cash requirements, financial condition, contractual</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restrictions and other factors that our Board of Directors may deem relevant. We are not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obligated to pay dividends on our common shares. See “Dividend Policy” for more</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information.</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Investing in our common shares involves a high degree of risk. You should read the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sections titled “Risk Factors” elsewhere in this prospectus and in our 2025 Annual Report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for a discussion of factors to consider carefully before deciding to invest in our common</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w:t>
            </w:r>
          </w:p>
        </w:tc>
      </w:tr>
      <w:tr>
        <w:trPr>
          <w:trHeight w:val="172"/>
        </w:trPr>
        <w:tc>
          <w:tcPr>
            <w:tcW w:w="4060" w:type="dxa"/>
            <w:vAlign w:val="bottom"/>
            <w:tcBorders>
              <w:left w:val="single" w:sz="8" w:color="auto"/>
              <w:bottom w:val="single" w:sz="8" w:color="auto"/>
            </w:tcBorders>
          </w:tcPr>
          <w:p>
            <w:pPr>
              <w:spacing w:after="0"/>
              <w:rPr>
                <w:sz w:val="14"/>
                <w:szCs w:val="14"/>
                <w:color w:val="auto"/>
              </w:rPr>
            </w:pPr>
          </w:p>
        </w:tc>
        <w:tc>
          <w:tcPr>
            <w:tcW w:w="6960" w:type="dxa"/>
            <w:vAlign w:val="bottom"/>
            <w:tcBorders>
              <w:bottom w:val="single" w:sz="8" w:color="auto"/>
              <w:right w:val="single" w:sz="8" w:color="auto"/>
            </w:tcBorders>
          </w:tcPr>
          <w:p>
            <w:pPr>
              <w:spacing w:after="0"/>
              <w:rPr>
                <w:sz w:val="14"/>
                <w:szCs w:val="14"/>
                <w:color w:val="auto"/>
              </w:rPr>
            </w:pPr>
          </w:p>
        </w:tc>
      </w:tr>
      <w:tr>
        <w:trPr>
          <w:trHeight w:val="361"/>
        </w:trPr>
        <w:tc>
          <w:tcPr>
            <w:tcW w:w="4060" w:type="dxa"/>
            <w:vAlign w:val="bottom"/>
          </w:tcPr>
          <w:p>
            <w:pPr>
              <w:spacing w:after="0"/>
              <w:rPr>
                <w:sz w:val="24"/>
                <w:szCs w:val="24"/>
                <w:color w:val="auto"/>
              </w:rPr>
            </w:pPr>
          </w:p>
        </w:tc>
        <w:tc>
          <w:tcPr>
            <w:tcW w:w="6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278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32785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Material Bermuda, Irish and U.S. Federal Income</w:t>
      </w:r>
      <w:r>
        <w:rPr>
          <w:sz w:val="20"/>
          <w:szCs w:val="20"/>
          <w:color w:val="auto"/>
        </w:rPr>
        <w:tab/>
      </w:r>
      <w:r>
        <w:rPr>
          <w:rFonts w:ascii="Times New Roman" w:cs="Times New Roman" w:eastAsia="Times New Roman" w:hAnsi="Times New Roman"/>
          <w:sz w:val="17"/>
          <w:szCs w:val="17"/>
          <w:color w:val="auto"/>
        </w:rPr>
        <w:t>For a discussion of material Bermuda, Irish and U.S. federal income tax consequences, see</w:t>
      </w:r>
    </w:p>
    <w:p>
      <w:pPr>
        <w:sectPr>
          <w:pgSz w:w="11900" w:h="16838" w:orient="portrait"/>
          <w:cols w:equalWidth="0" w:num="1">
            <w:col w:w="10860"/>
          </w:cols>
          <w:pgMar w:left="320" w:top="455" w:right="719" w:bottom="1440" w:gutter="0" w:footer="0" w:header="0"/>
        </w:sectPr>
      </w:pP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Tax Considerations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section titled “Material Bermuda, Irish and U.S. Federal Income Tax Considerations.”</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“KMTS”</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The number of common shares that will be outstanding immediately after this offering is based on 51,348,656 common shares issued as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July 31, 2025 and excludes:</w:t>
      </w:r>
    </w:p>
    <w:p>
      <w:pPr>
        <w:spacing w:after="0" w:line="112" w:lineRule="exact"/>
        <w:rPr>
          <w:sz w:val="20"/>
          <w:szCs w:val="20"/>
          <w:color w:val="auto"/>
        </w:rPr>
      </w:pPr>
    </w:p>
    <w:p>
      <w:pPr>
        <w:ind w:left="1240" w:right="4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issuable upon the exercise of warrants that were exercisable as of July 31, 2025 for 62,325, 46,744 and 325,847 common shares with exercise prices of $17.81, $20.65 and $11.54, respectively;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12,890,000 common shares reserved for future issuance under our 2025 Omnibus Incentive Plan, including:</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1,856,767 common shares issuable pursuant to restricted stock units granted under our 2025 Omnibus Incentive Plan; and</w:t>
      </w:r>
    </w:p>
    <w:p>
      <w:pPr>
        <w:spacing w:after="0" w:line="130" w:lineRule="exact"/>
        <w:rPr>
          <w:rFonts w:ascii="Times New Roman" w:cs="Times New Roman" w:eastAsia="Times New Roman" w:hAnsi="Times New Roman"/>
          <w:sz w:val="18"/>
          <w:szCs w:val="18"/>
          <w:color w:val="auto"/>
        </w:rPr>
      </w:pPr>
    </w:p>
    <w:p>
      <w:pPr>
        <w:ind w:left="1640" w:right="560" w:hanging="289"/>
        <w:spacing w:after="0" w:line="282" w:lineRule="auto"/>
        <w:tabs>
          <w:tab w:leader="none" w:pos="1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4,539,300 common shares underlying outstanding stock options granted under our 2025 Omnibus Incentive Plan, with a weighted-average exercise price of $17.04 per share;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common shares reserved for future issuance under our 2025 Employee Stock Purchase Plan.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noted, all information in this prospectus assumes:</w:t>
      </w:r>
    </w:p>
    <w:p>
      <w:pPr>
        <w:spacing w:after="0" w:line="131"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an additional 900,000 common shares in this offering;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and warrants described above.</w:t>
      </w:r>
    </w:p>
    <w:p>
      <w:pPr>
        <w:spacing w:after="0" w:line="34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320" w:top="455" w:right="7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tables set forth our summary condensed consolidated financial data for the three months ended July 31, 2025 and 2024, and our summary consolidated financial data for the fiscal years ended April 30, 2025 and 2024. We derived the consolidated statements of operations and comprehensive loss data for the fiscal years ended April 30, 2025 and 2024 from our audited consolidated financial statements contained in our 2025 Annual Report, which is incorporated by reference into this prospectus. We derived the condensed consolidated statements of operations and comprehensive loss data for the three months ended July 31, 2025 and 2024 and the condensed consolidated balance sheet data as of July 31, 2025 from our unaudited condensed consolidated financial statements contained in our Q1 Quarterly Report, which is incorporated by reference into this prospectus. We have prepared the unaudited condensed consolidated financial statements on the same basis as the audited consolidated financial statements and have included all adjustments, consisting only of normal recurring adjustments, which in our opinion are necessary to state fairly the financial information set forth in those statements.</w:t>
      </w:r>
    </w:p>
    <w:p>
      <w:pPr>
        <w:spacing w:after="0" w:line="18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historical results are not necessarily indicative of the results to be expected in the future. The summary consolidated financial data set forth below should be read in conjunction with the consolidated financial statements and related notes thereto and the section titled “Management’s Discussion and Analysis of Financial Condition and Results of Operations” in our 2025 Annual Report and our Q1 Quarterly Report, each of which is incorporated by reference into this prospectus.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21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8215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0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00" w:type="dxa"/>
            <w:vAlign w:val="bottom"/>
          </w:tcPr>
          <w:p>
            <w:pPr>
              <w:spacing w:after="0"/>
              <w:rPr>
                <w:sz w:val="9"/>
                <w:szCs w:val="9"/>
                <w:color w:val="auto"/>
              </w:rPr>
            </w:pPr>
          </w:p>
        </w:tc>
        <w:tc>
          <w:tcPr>
            <w:tcW w:w="4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 and per share amounts)</w:t>
            </w: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2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0" w:type="dxa"/>
            <w:vAlign w:val="bottom"/>
          </w:tcPr>
          <w:p>
            <w:pPr>
              <w:spacing w:after="0"/>
              <w:rPr>
                <w:sz w:val="14"/>
                <w:szCs w:val="14"/>
                <w:color w:val="auto"/>
              </w:rPr>
            </w:pPr>
          </w:p>
        </w:tc>
        <w:tc>
          <w:tcPr>
            <w:tcW w:w="42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and</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0" w:type="dxa"/>
            <w:vAlign w:val="bottom"/>
          </w:tcPr>
          <w:p>
            <w:pPr>
              <w:spacing w:after="0"/>
              <w:rPr>
                <w:sz w:val="20"/>
                <w:szCs w:val="20"/>
                <w:color w:val="auto"/>
              </w:rPr>
            </w:pPr>
          </w:p>
        </w:tc>
        <w:tc>
          <w:tcPr>
            <w:tcW w:w="4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Comprehensive Loss Data:</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19,371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59,815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revenue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8,582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35,605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27,452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8"/>
                <w:szCs w:val="18"/>
                <w:color w:val="auto"/>
              </w:rPr>
            </w:pP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15,652</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15,490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19,227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114,936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69,935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(28,878)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(18,431)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(106,378)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(85,063)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7,734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(20,316)</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(94,096)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(113,814)</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and comprehensive loss attributable to</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Kestra Medical Technologies, Ltd.</w:t>
            </w:r>
          </w:p>
        </w:tc>
        <w:tc>
          <w:tcPr>
            <w:tcW w:w="100" w:type="dxa"/>
            <w:vAlign w:val="bottom"/>
          </w:tcPr>
          <w:p>
            <w:pPr>
              <w:spacing w:after="0"/>
              <w:rPr>
                <w:sz w:val="20"/>
                <w:szCs w:val="20"/>
                <w:color w:val="auto"/>
              </w:rPr>
            </w:pP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(19,884)</w:t>
            </w:r>
          </w:p>
        </w:tc>
        <w:tc>
          <w:tcPr>
            <w:tcW w:w="100" w:type="dxa"/>
            <w:vAlign w:val="bottom"/>
          </w:tcPr>
          <w:p>
            <w:pPr>
              <w:spacing w:after="0"/>
              <w:rPr>
                <w:sz w:val="20"/>
                <w:szCs w:val="20"/>
                <w:color w:val="auto"/>
              </w:rPr>
            </w:pP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(113,814)</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(94,120)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0" w:type="dxa"/>
            <w:vAlign w:val="bottom"/>
          </w:tcPr>
          <w:p>
            <w:pPr>
              <w:spacing w:after="0"/>
              <w:rPr>
                <w:sz w:val="17"/>
                <w:szCs w:val="17"/>
                <w:color w:val="auto"/>
              </w:rPr>
            </w:pPr>
          </w:p>
        </w:tc>
        <w:tc>
          <w:tcPr>
            <w:tcW w:w="42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common shareholders, basic</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(25,826)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(22,267)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(126,135)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(100,841)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428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shareholders, basic</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00" w:type="dxa"/>
            <w:vAlign w:val="bottom"/>
          </w:tcPr>
          <w:p>
            <w:pPr>
              <w:spacing w:after="0"/>
              <w:rPr>
                <w:sz w:val="17"/>
                <w:szCs w:val="17"/>
                <w:color w:val="auto"/>
              </w:rPr>
            </w:pPr>
          </w:p>
        </w:tc>
        <w:tc>
          <w:tcPr>
            <w:tcW w:w="42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Weighted-average shares of common shares</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00" w:type="dxa"/>
            <w:vAlign w:val="bottom"/>
          </w:tcPr>
          <w:p>
            <w:pPr>
              <w:spacing w:after="0"/>
              <w:rPr>
                <w:sz w:val="20"/>
                <w:szCs w:val="20"/>
                <w:color w:val="auto"/>
              </w:rPr>
            </w:pP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w w:val="98"/>
              </w:rPr>
              <w:t>51,304,599</w:t>
            </w: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8"/>
              </w:rPr>
              <w:t>19,885,382</w:t>
            </w:r>
          </w:p>
        </w:tc>
        <w:tc>
          <w:tcPr>
            <w:tcW w:w="100" w:type="dxa"/>
            <w:vAlign w:val="bottom"/>
          </w:tcPr>
          <w:p>
            <w:pPr>
              <w:spacing w:after="0"/>
              <w:rPr>
                <w:sz w:val="20"/>
                <w:szCs w:val="20"/>
                <w:color w:val="auto"/>
              </w:rPr>
            </w:pPr>
          </w:p>
        </w:tc>
        <w:tc>
          <w:tcPr>
            <w:tcW w:w="14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w w:val="98"/>
              </w:rPr>
              <w:t>24,583,745</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19,885,382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6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249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2249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50"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80" w:type="dxa"/>
            <w:vAlign w:val="bottom"/>
            <w:vMerge w:val="restart"/>
          </w:tcPr>
          <w:p>
            <w:pPr>
              <w:spacing w:after="0"/>
              <w:rPr>
                <w:sz w:val="15"/>
                <w:szCs w:val="15"/>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4680" w:type="dxa"/>
            <w:vAlign w:val="bottom"/>
            <w:vMerge w:val="continue"/>
          </w:tcPr>
          <w:p>
            <w:pPr>
              <w:spacing w:after="0"/>
              <w:rPr>
                <w:sz w:val="12"/>
                <w:szCs w:val="12"/>
                <w:color w:val="auto"/>
              </w:rPr>
            </w:pPr>
          </w:p>
        </w:tc>
        <w:tc>
          <w:tcPr>
            <w:tcW w:w="1460" w:type="dxa"/>
            <w:vAlign w:val="bottom"/>
            <w:tcBorders>
              <w:top w:val="single" w:sz="8" w:color="auto"/>
            </w:tcBorders>
            <w:gridSpan w:val="2"/>
          </w:tcPr>
          <w:p>
            <w:pPr>
              <w:jc w:val="right"/>
              <w:ind w:right="860"/>
              <w:spacing w:after="0" w:line="129" w:lineRule="exact"/>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 Adjusted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7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$ 201,214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330,180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266,296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395,261</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41,486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41,486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82,137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82,137</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(546,075)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(546,075)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184,159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313,124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20" w:hanging="422"/>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consolidated balance sheet data give further effect to our issuance and sale of 6,000,000 common shares in this offering at the public offering price of $23.00 per common share, after deducting underwriting discounts and commissions and estimated offering costs incurred by us.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You should consider carefully the risks and uncertainties described below, together with all of the other information in this prospectus and in our 2025 Annual Report and in our Q1 Quarterly Report before deciding to invest in our common shares. The risks and uncertainties described below are not the only ones we face. Additional risks and uncertainties that we are unaware of, or that we currently believe are not material, may also become important factors that affect us. Please also see “Special Note Regarding Forward-Looking Statements.” If any of these risks occur, our business, financial condition, results of operations and prospects could be materially and adversely affected. In that event, the market price of our common shares could decline, and you could lose all or part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Shares</w:t>
      </w:r>
    </w:p>
    <w:p>
      <w:pPr>
        <w:spacing w:after="0" w:line="117"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shares less attractive to investors.</w:t>
      </w:r>
    </w:p>
    <w:p>
      <w:pPr>
        <w:spacing w:after="0" w:line="28"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may remain an emerging growth company for up to five years from the date of our initial public offering. For as long as we are an emerging growth company, we will not be required to comply with certain requirements that are applicable to other public companies that are not emerging growth companies, including the auditor attestation requirements of Section 404 of the Sarbanes-Oxley Act, and may also take advantage of the reduced disclosure obligations regarding executive compensation in our periodic reports, proxy statements and registration statements and the exemptions from the requirements of holding a nonbinding advisory vote on executive compensation and obtaining shareholder approval of any golden parachute payments not previously approved. As a result, we take, and intend to continue to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issued subsequent to the enactment of the JOBS Act until such time as those standards apply to private companies. 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As a result of these elections, our financial statements may not be comparable to those of public companies that comply with such new or revised accounting standards.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Investors may find our common shares less attractive because we may rely on these exemptions. If some investors find our common shares less attractive as a result, there may be a less active trading market for our common shares and the market price of our common shares may be adversely affected and more volatile.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common shares may not be sustained.</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following this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continue would likely have a material adverse effect on the value of our common shares. The market price of our common shares may decline below the public offering price, and you may not be able to sell your shares at or above the price you paid in this offering, or at all. An inactive market may also impair our ability to raise capital to continue to fund operations by selling shares and may impair our ability to acquire other technologies related to our business by using our shares as consideration.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you may be unable to resell your shares at or above the public offering price.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shares may be highly volatile and may fluctuate or decline substantially as a result of a variety of factors.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The public trading price for our common shares may be affected by a number of factors, including:</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our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potential payors;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medical device industry in particular;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changes in our Board of Directors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regulation of our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patents issued to us or our competitors and related litigation;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results of operations and the market price and demand for our shares to fluctuate substantially. In addition, the share prices of many companies in the medical device industry have experienced wide fluctuations that have often been unrelated to the operating performance of those companies. While we believe that results of operations for any particular quarter are not necessarily a meaningful indication of future results, fluctuations in our quarterly results of operations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which could result in adverse U.S. federal income tax consequences to United States Holders.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a non-U.S. corporation (such as ourselves) will be classified as a passive foreign investment company (a “PFIC”) for any taxable year if, for such year after the application of certain look-through rules with respect to subsidiaries, either (1) at least 75% of our gross income for the year is “passive income” (as described below), or (2) the average percentage of our assets (determined at the end of each quarter) during the taxable year which produce “passive income” or which are held for the production of “passive income” is at least 50%. “Passive income” generally includes dividends, interest, rents, royalties (other than rents or royalties derived from the active conduct of a trade or business) and gains from the disposition of passive assets.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it is determined that we are a PFIC for any taxable year (or portion thereof) that is included in the holding period of a U.S. Holder (as defined in “Material Bermuda, Irish and U.S. Federal Income Tax Considerations—U.S. Federal Income Tax Consequences for U.S. Holders”), such U.S. Holder may be subject to increased U.S. federal income tax liability and may be subject to additional reporting requirements.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Based on the nature of our business, our financial statements, our expectations about the nature and amount of our income, assets and activities and our share price, we do not expect to be a PFIC for U.S. federal income tax purposes for the current taxable year or in the foreseeable future. However, whether we will be a PFIC in the current year or any future year is a factual determination that must be made annually at the close of each taxable year, and, thus, is subject to significant uncertainty. Among other things, a determination of whether we are a PFIC will depend on the composition of our income and assets and the market value of our assets from time to time. Accordingly, there can be no assurance that we will not be a PFIC in the current year or any future taxable year.</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common shares, we generally would continue to be treated as a PFIC with respect to that U.S. Holder for all succeeding years during which the U.S. Holder holds our common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currently expect to provide information that would allow a U.S. Holder to make a “qualifying electing fund” election (a “QEF Election”) in the event that we are classified as a PFIC and, therefore, U.S. Holders should assume such election would not be available.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Holders if we were determined to be a PFIC, see “Material Bermuda, Irish and U.S. Federal Income Taxation— U.S. Federal Income Tax Consequences for U.S. Holders—Passive Foreign Investment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shares may cause the price of our common shares to decline.</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sale, or the perception of a potential sale, of substantial amounts of our common shares in the public market after the lapse of lock-up and other legal restrictions on resale discussed in this prospectus, could result in a decline in the trading price of our common shares.</w:t>
      </w:r>
    </w:p>
    <w:p>
      <w:pPr>
        <w:spacing w:after="0" w:line="162"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Based on common shares outstanding as of July 31, 2025, upon completion of this offering, we will have outstanding a total of 57,348,656 common shares (or 58,248,656 common shares, if the underwriters exercise their option to purchase additional shares). Each of our directors and officers have entered into a lock-up agreement with the underwriters that restricts their ability to sell or transfer their shares. The lock-up agreements pertaining to this offering will expire 60 days from the date of this prospectus. BofA Securities, Inc. and Piper Sandler &amp; Co., however, may, in their sole discretion, waive the contractual lock-up prior to the expiration of the lock-up agreements. Upon the expiration of such lock-up agreements, all of the outstanding 57,348,656 common shares (or 58,248,656 common shares, if the underwriters exercise their option to purchase additional shares) will be eligible for resale in the public market, subject to volume limitations under Rule 144 under the Securities Act that apply to our directors, executive officers and other affiliates, and various vesting agreements. The holders of a substantial number of our outstanding common shares also have rights, subject to some conditions, to require us to file registration statements covering their shares or to include their shares in registration statements that we may file for ourselves or our shareholders. Following the consummation of our initial public offering in March 2025, we registered the sale of 12,890,000 common shares that we may issue under our equity incentive plans. From the consummation of our initial public offering through July 31, 2025, we granted stock options to our named executive officers (NEOs) and certain other employees to purchase an aggregate of 4,658,300 common shares with a weighted average exercise price of $17.04. Additionally, from the consummation of our initial public offering through July 31, 2025, we granted restricted stock units that vest into an aggregate of 1,856,767 common shares to our directors, NEOs and certain other employees. These shares are eligible to be freely tradeable in the public market to the extent permitted by the provisions of various vesting agreements, any lock-up agreements then in effect and Rules 144 and 701 under the Securities Act. If these additional shares are sold, or if it is perceived that they will be sold, in the public market, the trading price of our common shares could decline.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net proceeds from this offering.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over the use and investment of the net proceeds of this offering. We intend to use the net proceeds from this offering, together with our existing cash, to scale up our commercial organization through the hiring of additional sales representatives, sales team leadership and clinical care specialists, as well as continued investments in our fleet of devices, supply chain and revenue cycle management capabilities. We also intend to use a portion of the net proceeds to further fund our research and development and continued clinical development costs to support innovation in our products and fund trials to build upon our strong base of clinical evidence. Any remaining net proceeds will be used for working capital and general corporate purposes. Additionally, a portion of the proceeds of this offering will be used to fund offering costs incurred by us as part of this offering. However, this expected use of the net proceeds from this offering represents our intentions based upon our current plans and business conditions, which could change in the future as our plans and business conditions evolve. Accordingly, investors in this offering will need to rely upon the judgment of our management with respect to the use of proceeds with only limited information concerning management’s specific intentions. See “Use of Proceeds” for additional information.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 Bermuda company, and it may be difficult for you to enforce judgments against us or our directors and executive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Bermuda exempted company limited by shares. As a result, the rights of our shareholders are governed by Bermuda law, our memorandum of association and the amended and restated bye-laws. The rights of shareholders under Bermuda law may differ from the rights of shareholders of companies incorporated in another jurisdiction. It may be difficult for investors to effect service of process on concerned persons not resident in the United States or to enforce in the U.S.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 See “Enforcement of Civil Liabilities under U.S. Federal Securities Laws” for additional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United States and may afford less protection to our shareholders.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in the same way they are under the laws of the United States.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amended and restated bye-laws and as permitted by Bermuda law, each shareholder will waive any claim or right of action against our directors or officers for any action taken by directors or officers in the performance of their duties, except for actions involving fraud or dishonesty or any claims of violations of the Securities Act or the Exchange Act.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as amended, which regulates the sale of securities in Bermuda. In addition, pursuant to the Beneficial Ownership Act 2025 (the “BO Act”), no person shall become the beneficial owner of our common shares, each term as defined within the BO Act, without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approval of the Bermuda Registrar of Companies. However, for so long as the Company’s common shares are listed on an appointed stock exchange, which includes the Nasdaq Global Select Market, for the purposes of the Companies Act, the issue and transfer of our common shares that are the subject of this offering to and between residents and non-residents of Bermuda, will be exempted from the application of the BO Act. The exemption from the application of the BO Act would cease to apply if we were to cease to be listed on the Nasdaq Global Select Market or another appointed stock exchange.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Bain Capital has significant influence over us, and its interests may conflict with ours or yours.</w:t>
      </w:r>
    </w:p>
    <w:p>
      <w:pPr>
        <w:spacing w:after="0" w:line="121"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Immediately following this offering, Bain Capital will own approximately 47.1% of our common shares, or 46.4% if the underwriters exercise in full their option to purchase additional shares, which means that, based on its percentage voting power held after this offering, Bain Capital will continue to have significant influence over the vote of all matters submitted to a vote of our shareholders, including the election of the members of our Board of Directors and other corporate decisions. For so long as Bain Capital continues to own a significant percentage of our shares, Bain Capital will be able to significantly influence actions relating to the composition of our Board of Directors, new issuances of equity, including to our employees under equity incentive plans, amendments of our organizational documents and approval of any merger, amalgamation, sale of assets or other major corporate transaction. Accordingly, for such period of time, Bain Capital will have substantial influence with respect to our management, business plans and policies. In particular, for so long as Bain Capital continues to own a significant percentage of our shares, Bain Capital will be able to cause or prevent a change of control of us or a change in the composition of our Board of Directors and could preclude any unsolicited acquisition of us. The concentration of ownership could deprive you of an opportunity to receive a premium for your common shares as part of a sale of us and ultimately might affect the market price of our common shares.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Bain Capital and its affiliates engage in a broad spectrum of activities, including investments in the healthcare industry generally. In the ordinary course of its business activities Bain Capital and its affiliates may engage in activities where their respective interests conflict with our interests or those of our other shareholders, such as investing in or advising businesses that directly or indirectly compete with certain portions of our business or are suppliers or customers of ours. Bain Capital also may pursue acquisition opportunities that may be complementary to our business, and, as a result, those acquisition opportunities may not be available to us. In addition, Bain Capital may have an interest in pursuing acquisitions, divestitures and other transactions that, in its judgment, could enhance its investment, even though such transactions might involve risks to you.</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bye-laws provide that the Company will renounce to the fullest extent permitted by applicable law any interest or expectancy in, or in being offered an opportunity to participate in, any business opportunity that may from time to time be presented to Bain Charger Holdings, L.P. (“Bain Charger”) and its affiliates, and that may be a business opportunity for such parties, even if the opportunity is one that the Company might reasonably have pursued or had the ability or desire to pursue if granted the opportunity to do so. In addition, to the fullest extent permitted by applicable law, Bain Charger and its affiliates will not be liable to the Company for breach of any fiduciary or other duty by reason of the fact that Bain Charger pursues or acquires any such business opportunity, directs any such business opportunity to another person or fails to present any such business opportunity, or information regarding any such business opportunity, to us. Bain Charger and its affiliates do not have any duty to refrain from engaging directly or indirectly in the same or similar business activities or lines of business as the Company or any of its subsidiaries.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amended and restated bye-laws that may discourage a change of control, even if an acquisition would be beneficial to our shareholders, and may prevent attempts by our shareholders to replace or remove our current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bye-laws contain provisions that could make it more difficult for a third party to acquire us without the consent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 These provisions provide for:</w:t>
      </w:r>
    </w:p>
    <w:p>
      <w:pPr>
        <w:spacing w:after="0" w:line="112" w:lineRule="exact"/>
        <w:rPr>
          <w:sz w:val="20"/>
          <w:szCs w:val="20"/>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until the seventh annual general meeting of shareholders after our initial public offering;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only to be removed for cause and only with a resolution passed by holders of at least 66 2/3% of all issued shares entitled to vote, from and after the date that Bain Charger and its affiliates cease to beneficially own at least 50% of the issued common shares of our company (the “Trigger Event”);</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amendments to our amended and restated bye-laws and memorandum of association will require the approval of our Board of Directors and a resolution passed by holders of at least 66 2/3% of all issued shares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only permit shareholder action by written consent when it is unanimously approved by our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time period in which directors may be nominated;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shareholders’ ability to call special general meetings; and</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addition, although the Companies Act does not contain specific provisions regarding “business combinations” between companies organized under the laws of Bermuda and “interested shareholders,” these provisions are included in our amended and restated bye-laws. Specifically, our amended and restated bye-laws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or more of our issued voting shares. See “Description of Share Capital—Business Combinations.”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of control of our company and may prevent our shareholders from receiving the benefit from any premium to the market price of our common shares offered by a bidder in a takeover context. Even in the absence of a takeover attempt, the existence of these provisions may adversely affect the prevailing market price of our common shares if the provisions are viewed as discouraging takeover attempts in the future. These provisions could also discourage proxy contests, make it more difficult for our shareholders to elect directors of their choosing and cause us to take corporate actions other than those our shareholders desire. See “Description of Share Capital.”</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bye-laws provide that the Supreme Court of Bermuda or the federal district courts of the United States are the exclusive forum for certain types of lawsuits and this may have the effect of discouraging lawsuits against our directors and officers.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bye-laws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 any fiduciary duty) by, or other wrongdoing by, a current or former officer, director, employee, agent or shareholder of the Company to the Company or its shareholders (whether or not such a claim is brought in the name of a shareholder or in the name of the Company). Further, unless we select or consent to the selection of an alternative forum, to the fullest extent permitted by applicable law, the federal district courts of the United States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shall be the exclusive forum for the resolution of any complaint asserting a cause of action arising under the Securities Act against the Company or any director, officer, employee or agent of the Company. Notwithstanding the foregoing, these provisions in our amended and restated bye-laws do not apply to suits brought to enforce any liability or duty created by the Exchange Act.</w:t>
      </w:r>
    </w:p>
    <w:p>
      <w:pPr>
        <w:spacing w:after="0" w:line="176" w:lineRule="exact"/>
        <w:rPr>
          <w:sz w:val="20"/>
          <w:szCs w:val="20"/>
          <w:color w:val="auto"/>
        </w:rPr>
      </w:pPr>
    </w:p>
    <w:p>
      <w:pPr>
        <w:ind w:left="120" w:right="300" w:firstLine="440"/>
        <w:spacing w:after="0" w:line="273"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our common shares shall be deemed to have notice of and to have consented to the forum selection provisions described in our amended and restated bye-laws. These exclusive forum provisions may limit a shareholder’s ability to bring a claim in a judicial forum that it finds favorable for disputes with us or any of our directors, officers, or shareholders, which may discourage lawsuits with respect to such claims. Our shareholders will not be deemed to have waived our compliance with the federal securities laws and the rules and regulations thereunder as a result of our exclusive forum provisions. Further, in the event a court finds the exclusive forum provisions contained in our amended and restated bye-laws to be unenforceable or inapplicable in an action, we may incur additional costs associated with resolving such action in other jurisdictions, which could harm our business, operating results and financial condition.</w:t>
      </w:r>
    </w:p>
    <w:p>
      <w:pPr>
        <w:spacing w:after="0" w:line="27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not paid cash dividends and do not expect to pay cash dividends in the foreseeable future, and, as a result, any return on investment may be limited to the value of our shares.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historically not paid cash dividends and do not anticipate paying cash dividends in the foreseeable future. The payment of cash dividends will depend on our earnings, capital requirements, financial condition, prospects and other factors our Board of Directors may deem relevant. Our term loan limits our ability to, among other things, pay dividends or make other distributions or payments on account of our common shares, in each case, subject to certain exceptions. In addition, pursuant to Bermuda law, we cannot declare or pay dividends, or make distributions out of our contributed surplus, if there are reasonable grounds for believing that (1) the Company is, or would after the payment be, unable to pay our liabilities as they become due or (2) the realizable value of our assets would thereby be less than our liabilities. Our ability to pay dividends is also restricted by covenants in our term loan. Additionally, because we are a holding company with no material direct operations, we are financially dependent on loans, dividends and other payments from our operating subsidiaries. To the extent that we decide to pay dividends on our common shares in the future, we will be dependent on our operating subsidiaries to make funds available to us for the payment of any such dividends. See “Dividend Policy” for more information. If we do not pay dividends, our shares may be less valuable because a return on your investment will only occur if you sell our common shares after our share price appreciates.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will experience immediate dilution of your investment.</w:t>
      </w:r>
    </w:p>
    <w:p>
      <w:pPr>
        <w:spacing w:after="0" w:line="121" w:lineRule="exact"/>
        <w:rPr>
          <w:sz w:val="20"/>
          <w:szCs w:val="20"/>
          <w:color w:val="auto"/>
        </w:rPr>
      </w:pPr>
    </w:p>
    <w:p>
      <w:pPr>
        <w:jc w:val="both"/>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The public offering price of our common shares will be substantially higher than the as adjusted net tangible book value per share as of July 31, 2025. Therefore, if you purchase our common shares in this offering, you will pay a price per common share that substantially exceeds our as adjusted net tangible book value per share immediately after this offering. After deducting the underwriting discounts and commissions and estimated offering expenses payable by us, you will experience immediate dilution of $17.68 per share, representing the difference between our as adjusted net tangible book value per share after this offering and the public offering price of $23.00 per share. See the section titled “Dilution” for additional information.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shareholders and impair the market price of our common shares.</w:t>
      </w:r>
    </w:p>
    <w:p>
      <w:pPr>
        <w:spacing w:after="0" w:line="121" w:lineRule="exact"/>
        <w:rPr>
          <w:sz w:val="20"/>
          <w:szCs w:val="20"/>
          <w:color w:val="auto"/>
        </w:rPr>
      </w:pPr>
    </w:p>
    <w:p>
      <w:pPr>
        <w:ind w:left="120" w:right="220" w:firstLine="991"/>
        <w:spacing w:after="0" w:line="256" w:lineRule="auto"/>
        <w:rPr>
          <w:sz w:val="20"/>
          <w:szCs w:val="20"/>
          <w:color w:val="auto"/>
        </w:rPr>
      </w:pPr>
      <w:r>
        <w:rPr>
          <w:rFonts w:ascii="Times New Roman" w:cs="Times New Roman" w:eastAsia="Times New Roman" w:hAnsi="Times New Roman"/>
          <w:sz w:val="18"/>
          <w:szCs w:val="18"/>
          <w:color w:val="auto"/>
        </w:rPr>
        <w:t>Future issuances of shares of our common shares, or the perception that these sales may occur, could depress the market price of our common shares and result in dilution to existing holders of our common shares. Also, to the extent outstanding options to purchase shares of our common shares are exercised or options, restricted share units or other share-based awards are issued or become vested, there will be further dilution. The amount of dilution could be substantial depending upon the size of the issuances or exercises. Furthermore, we may issue additional equity securities that could have rights senior to those of our common shares. As a result, holders of our common shares bear the risk that future issuances of debt or equity securities may reduce the value of our common shares and further dilute their ownership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 forward-looking statements are principally contained in the sections titled “Prospectus Summary” and “Risk Factors” in this prospectus and in the sections titled “Risk Factors,” “Management’s Discussion and Analysis of Financial Condition and Results of Operations,” and “Business” in our 2025 Annual Report and in the section titled “Management’s Discussion and Analysis of Financial Condition and Results of Operations” included in our Q1 Quarterly Report, each of which is incorporated by reference herein.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the words “anticipate,” “believe,” “continue,” “could,” “estimate,” “expect,” “intend,” “may,” “might,” “objective,” “ongoing,” “plan,” “potential,” “predict,” “project,” “should,”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w:t>
      </w:r>
    </w:p>
    <w:p>
      <w:pPr>
        <w:spacing w:after="0" w:line="94" w:lineRule="exact"/>
        <w:rPr>
          <w:sz w:val="20"/>
          <w:szCs w:val="20"/>
          <w:color w:val="auto"/>
        </w:rPr>
      </w:pPr>
    </w:p>
    <w:p>
      <w:pPr>
        <w:ind w:left="1080" w:right="2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the commercialization of our ASSURE WCD, including associated products and services as part of our Cardiac Recovery System platform, or to commercialize any future product candidates and begin generating revenue;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approvals for our ASSURE WCD and to obtain new regulatory approvals necessary to distribute our ASSURE WCD in new markets or to distribute additional products we develop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ASSURE WCD or any future product candidates that receive the necessary marketing and other regulatory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products;</w:t>
      </w:r>
    </w:p>
    <w:p>
      <w:pPr>
        <w:spacing w:after="0" w:line="130"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the manufacturing of our ASSURE WCD, obtain sufficient and timely supplies of components necessary to manufacture our ASSURE WCD and effectively manage inventory and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 including senior management and sales professionals;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and near-term achievable market for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or clearances;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plans, including our plans to enter into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defend ourselves against claims of infringement;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regulatory landscape;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changes in market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competitors and our industry.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You should refer to the sections titled “Risk Factors” in this prospectus and in our 2025 Annual Report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Any forward-looking statement that we make in this prospectus speaks only as of the date of such statement. We undertake no obligation to publicly update any forward-looking statements, whether as a result of new information, future events or otherwise, except as required by law.</w:t>
      </w:r>
    </w:p>
    <w:p>
      <w:pPr>
        <w:spacing w:after="0" w:line="189"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our issuance and sale of common shares in this offering will be approximately $129.0 million, or approximately $147.7 million if the underwriters exercise in full their option to purchase additional shares, after deducting the underwriting discounts and commissions and estimated offering costs incurred by us.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to scale up our commercial organization through the hiring of additional sales representatives, sales team leadership and clinical care specialists, as well as continued investments in our fleet of devices, supply chain and revenue cycle management capabilities. We also intend to use a portion of the net proceeds to further fund our research and development and continued clinical development costs to support innovation in our products and fund trials to build upon our strong base of clinical evidence. Any remaining net proceeds will be used for working capital and general corporate purposes.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our success in scaling up our commercial operations, the continued innovation in our products and achieving a strong base of clinical evidence. We may find it necessary or advisable to use the net proceeds for other purposes, and we will have broad discretion in the application of the net proceeds.</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plan to invest the net proceeds from this offering that are not used as described above (or that are pending their use) in short-term, interest-bearing obligations, investment-grade instruments, certificates of deposit or direct or guaranteed obligations of the U.S. government.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historically declared or paid any dividends on our common shares. We anticipate that we will retain all of our future earnings, if any, for use in the operation and expansion of our business and do not anticipate paying cash dividends in the foreseeable future.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Our term loan limits our ability to, among other things, pay dividends or make other distributions or payments on account of our common shares, in each case, subject to certain exceptions. In addition, pursuant to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 company. Additionally, as a holding company with no material direct operations, our ability to pay dividends on our common shares is dependent on the earnings and distributions of funds from our operating subsidiaries. We are not obligated to pay dividends on our common shares.</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additional information on the restrictions on our ability to pay dividends, see “Risk Factors—Risks Related to This Offering—We have historically not paid cash dividends and do not expect to pay cash dividends in the foreseeable future, and, as a result, any return on investment may be limited to the value of our shares” in this prospectus and “Risk Factors—Risks Related to Our Business—Our outstanding debt may affect our ability to operate our business and secure additional financing in the future” in our 2025 Annual Report.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31, 2025:</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common shares in this offering at a public offering price of $23.00 per common share, after deducting the underwriting discounts and commissions and estimated offering costs incurred by us.</w:t>
      </w:r>
    </w:p>
    <w:p>
      <w:pPr>
        <w:spacing w:after="0" w:line="5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as adjusted information set forth in the table below is illustrative only and will change based on the actual public offering price and other terms of this offering determined at pricing. You should read this information together with our financial statements and related notes and the sections titled “Management’s Discussion and Analysis of Financial Condition and Results of Operations” incorporated by reference in this prospectus from our 2025 Annual Report and our Q1 Quarterly Report and other financial information contained and incorporated by reference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80" w:type="dxa"/>
            <w:vAlign w:val="bottom"/>
          </w:tcPr>
          <w:p>
            <w:pPr>
              <w:spacing w:after="0"/>
              <w:rPr>
                <w:sz w:val="15"/>
                <w:szCs w:val="15"/>
                <w:color w:val="auto"/>
              </w:rPr>
            </w:pPr>
          </w:p>
        </w:tc>
        <w:tc>
          <w:tcPr>
            <w:tcW w:w="21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41,486</w:t>
            </w: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shares, $1.00 par value; 100,000,000 shares authorized;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51,348,656 shares issued and outstanding, actual; 57,348,656 shares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adjusted</w:t>
            </w:r>
          </w:p>
        </w:tc>
        <w:tc>
          <w:tcPr>
            <w:tcW w:w="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51,349</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57,349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678,885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801,850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(546,075)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(546,075)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184,159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313,124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225,645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shares in this offering, your investment will be immediately diluted to the extent of the difference between the public offering price per common share and the as adjusted net tangible book value per common share after this offering. Dilution results from the fact that the per share offering price of the common shares is substantially in excess of the as adjusted net tangible book value (deficit) per share attributable to our existing shareholders.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historical net tangible book value as of July 31, 2025 was approximately $176.0 million, or $3.43 per common share. Historical net tangible book value represents the amount of total tangible assets less total liabilities. Total tangible assets represent total assets less prepaid expenses, unamortized debt issuance costs, deferred offering cost, and other intangible assets. Historical net tangible book value per common share represents historical net tangible book value divided by the number of common shares issued as of July 31, 2025.</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After giving effect to (1) the issuance and sale of 6,000,000 common shares by us in this offering at the public offering price of $23.00 per share, after deducting underwriting discounts and commissions and estimated offering costs incurred by us, and (2) the receipt of the net proceeds from this offering, our as adjusted net tangible book value as of July 31, 2025 would have been $305.0 million, or $5.32 per common share. This represents an immediate increase in as adjusted net tangible book value (or a decrease in net tangible book deficit) of $1.89 per common share to our existing shareholders and an immediate dilution in as adjusted net tangible book value of $17.68 per common share to investors in this offering. Dilution in as adjusted net tangible book value per common share to investors in this offering represents the difference between the public offering price of $23.00 per share and the as adjusted net tangible book value per common share after giving effect to this offering.</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common share basis:</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10"/>
                <w:szCs w:val="10"/>
                <w:color w:val="auto"/>
              </w:rPr>
            </w:pPr>
          </w:p>
        </w:tc>
        <w:tc>
          <w:tcPr>
            <w:tcW w:w="6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common share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common share as of July 31, 2025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historical net tangible book value per common share attributable to investors</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in this offering</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common share after giving effect to the offering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6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as adjusted net tangible book value per common share to investors in this</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17.68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our as adjusted net tangible book value per share after giving effect to this offering would be $5.56 per common share. This represents an increase in as adjusted net tangible book value of $0.24 per common share to existing shareholders and dilution in as adjusted net tangible book value of $17.44 per common share to new investors, in each case based on the public offering price of $23.00, per share and after deducting the underwriting discounts and commissions payable by us.</w:t>
      </w:r>
    </w:p>
    <w:p>
      <w:pPr>
        <w:spacing w:after="0" w:line="200" w:lineRule="exact"/>
        <w:rPr>
          <w:sz w:val="20"/>
          <w:szCs w:val="20"/>
          <w:color w:val="auto"/>
        </w:rPr>
      </w:pP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common shares that will be outstanding immediately after this offering is based on 51,348,656 common shares issued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31, 2025 and excludes:</w:t>
      </w:r>
    </w:p>
    <w:p>
      <w:pPr>
        <w:spacing w:after="0" w:line="112" w:lineRule="exact"/>
        <w:rPr>
          <w:sz w:val="20"/>
          <w:szCs w:val="20"/>
          <w:color w:val="auto"/>
        </w:rPr>
      </w:pPr>
    </w:p>
    <w:p>
      <w:pPr>
        <w:ind w:left="1080" w:right="1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issuable upon the exercise of warrants that were exercisable as of July 31, 2025 for 62,325, 46,744 and 325,847 common shares with exercise prices of $17.81, $20.65 and $11.54,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12,890,000 common shares reserved for future issuance under our 2025 Omnibus Incentive Plan, including: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1,856,767 common shares issuable pursuant to restricted stock units granted under our 2025 Omnibus Incentive Plan; and</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4,539,300 common shares underlying outstanding stock options granted under our 2025 Omnibus Incentive Plan, with a weighted-average exercise price of $17.04 per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common shares reserved for future issuance under our 2025 Employee Stock Purchase.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exercise of options or similar rights of our outstanding warrants could result in further dilution to our shareholders.</w:t>
      </w:r>
    </w:p>
    <w:p>
      <w:pPr>
        <w:spacing w:after="0" w:line="225"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dilution information above is for illustrative purposes only. Our as adjusted net tangible book value following the consummation of this offering is subject to adjustment based on the actual public offering price of our common shares and other terms of this offering determined at pricing.</w:t>
      </w:r>
    </w:p>
    <w:p>
      <w:pPr>
        <w:spacing w:after="0" w:line="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shares as of September 30, 2025 for:</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provide that a person is the beneficial owner of securities if such person has or shares the power to vote or direct the voting thereof, or to dispose or direct the disposition thereof or has the right to acquire such powers within 60 days. Shares of our common shares subject to options that are currently exercisable or exercisable within 60 days of September 30, 2025, or issuable pursuant to RSUs, which are subject to vesting and settlement conditions expected to occur within 60 days of September 30, 2025, are deemed to be outstanding and to be beneficially owned by the person holding the stock options for the purpose of computing the percentage ownership of that person, but are not treated as outstanding for the purpose of computing the percentage ownership of any other person. Unless otherwise indicated below, to our knowledge, the persons and entities named in the table have sole voting and sole investment power with respect to all shares beneficially owned, subject to community property laws where applicable.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information in the following table regarding percentage ownership before this offering is calculated based on 51,449,053 shares of common shares issued as of September 30, 2025. Each shareholder’s percentage ownership after the offering is based on 57,348,656 shares of common shares issued immediately after the completion of this offering. We have also granted the underwriters an option to purchase up to 900,000 additional common shares. This table is based upon information supplied by officers, directors, principal shareholders, and Schedules 13D and Schedules 13G, if any, filed with the SEC. Unless otherwise indicated, the address of each of the individuals and entities named below is c/o Kestra Medical Technologies, Ltd., 3933 Lake Washington Blvd NE, Suite 200, Kirkland, Washington 98033.</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14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1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96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140" w:type="dxa"/>
            <w:vAlign w:val="bottom"/>
            <w:gridSpan w:val="2"/>
            <w:vMerge w:val="continue"/>
          </w:tcPr>
          <w:p>
            <w:pPr>
              <w:spacing w:after="0"/>
              <w:rPr>
                <w:sz w:val="12"/>
                <w:szCs w:val="12"/>
                <w:color w:val="auto"/>
              </w:rPr>
            </w:pPr>
          </w:p>
        </w:tc>
        <w:tc>
          <w:tcPr>
            <w:tcW w:w="22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After this Offering</w:t>
            </w: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80" w:type="dxa"/>
            <w:vAlign w:val="bottom"/>
            <w:vMerge w:val="restart"/>
          </w:tcPr>
          <w:p>
            <w:pPr>
              <w:spacing w:after="0"/>
              <w:rPr>
                <w:sz w:val="12"/>
                <w:szCs w:val="12"/>
                <w:color w:val="auto"/>
              </w:rPr>
            </w:pPr>
          </w:p>
        </w:tc>
        <w:tc>
          <w:tcPr>
            <w:tcW w:w="196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Prior to and</w:t>
            </w:r>
          </w:p>
        </w:tc>
        <w:tc>
          <w:tcPr>
            <w:tcW w:w="21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 Ownership</w:t>
            </w:r>
          </w:p>
        </w:tc>
        <w:tc>
          <w:tcPr>
            <w:tcW w:w="222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(No Exercise of</w:t>
            </w:r>
          </w:p>
        </w:tc>
        <w:tc>
          <w:tcPr>
            <w:tcW w:w="16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(Full Exercise of</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960" w:type="dxa"/>
            <w:vAlign w:val="bottom"/>
            <w:gridSpan w:val="2"/>
          </w:tcPr>
          <w:p>
            <w:pPr>
              <w:jc w:val="right"/>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After this Offering</w:t>
            </w:r>
          </w:p>
        </w:tc>
        <w:tc>
          <w:tcPr>
            <w:tcW w:w="214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Prior to this Offering</w:t>
            </w:r>
          </w:p>
        </w:tc>
        <w:tc>
          <w:tcPr>
            <w:tcW w:w="222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Underwriters’ Option)</w:t>
            </w:r>
          </w:p>
        </w:tc>
        <w:tc>
          <w:tcPr>
            <w:tcW w:w="16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Underwriters’ Option)</w:t>
            </w: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and Greater Shareholders:</w:t>
            </w:r>
          </w:p>
        </w:tc>
        <w:tc>
          <w:tcPr>
            <w:tcW w:w="1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Affiliate of Bain Capital </w:t>
            </w:r>
            <w:r>
              <w:rPr>
                <w:rFonts w:ascii="Times New Roman" w:cs="Times New Roman" w:eastAsia="Times New Roman" w:hAnsi="Times New Roman"/>
                <w:sz w:val="25"/>
                <w:szCs w:val="25"/>
                <w:color w:val="auto"/>
                <w:vertAlign w:val="superscript"/>
              </w:rPr>
              <w:t>(1)</w:t>
            </w: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27,019,225</w:t>
            </w:r>
          </w:p>
        </w:tc>
        <w:tc>
          <w:tcPr>
            <w:tcW w:w="2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52.5%</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47.1%</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Affiliates of Endeavour Entities </w:t>
            </w:r>
            <w:r>
              <w:rPr>
                <w:rFonts w:ascii="Times New Roman" w:cs="Times New Roman" w:eastAsia="Times New Roman" w:hAnsi="Times New Roman"/>
                <w:sz w:val="25"/>
                <w:szCs w:val="25"/>
                <w:color w:val="auto"/>
                <w:vertAlign w:val="superscript"/>
              </w:rPr>
              <w:t>(2)</w:t>
            </w:r>
          </w:p>
        </w:tc>
        <w:tc>
          <w:tcPr>
            <w:tcW w:w="19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2,646,899</w:t>
            </w:r>
          </w:p>
        </w:tc>
        <w:tc>
          <w:tcPr>
            <w:tcW w:w="2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5.1%</w:t>
            </w:r>
          </w:p>
        </w:tc>
        <w:tc>
          <w:tcPr>
            <w:tcW w:w="2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4.6%</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(3)</w:t>
            </w: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5,225,753</w:t>
            </w:r>
          </w:p>
        </w:tc>
        <w:tc>
          <w:tcPr>
            <w:tcW w:w="2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10.2%</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9.1%</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Brian Webster</w:t>
            </w:r>
            <w:r>
              <w:rPr>
                <w:rFonts w:ascii="Times New Roman" w:cs="Times New Roman" w:eastAsia="Times New Roman" w:hAnsi="Times New Roman"/>
                <w:sz w:val="25"/>
                <w:szCs w:val="25"/>
                <w:color w:val="auto"/>
                <w:vertAlign w:val="superscript"/>
              </w:rPr>
              <w:t>(4)</w:t>
            </w: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1,377,342</w:t>
            </w:r>
          </w:p>
        </w:tc>
        <w:tc>
          <w:tcPr>
            <w:tcW w:w="2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c>
          <w:tcPr>
            <w:tcW w:w="2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2.4%</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Vaseem Mahboob</w:t>
            </w:r>
            <w:r>
              <w:rPr>
                <w:rFonts w:ascii="Times New Roman" w:cs="Times New Roman" w:eastAsia="Times New Roman" w:hAnsi="Times New Roman"/>
                <w:sz w:val="25"/>
                <w:szCs w:val="25"/>
                <w:color w:val="auto"/>
                <w:vertAlign w:val="superscript"/>
              </w:rPr>
              <w:t>(5)</w:t>
            </w:r>
          </w:p>
        </w:tc>
        <w:tc>
          <w:tcPr>
            <w:tcW w:w="19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14,838*</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Traci S. Umberger</w:t>
            </w:r>
            <w:r>
              <w:rPr>
                <w:rFonts w:ascii="Times New Roman" w:cs="Times New Roman" w:eastAsia="Times New Roman" w:hAnsi="Times New Roman"/>
                <w:sz w:val="25"/>
                <w:szCs w:val="25"/>
                <w:color w:val="auto"/>
                <w:vertAlign w:val="superscript"/>
              </w:rPr>
              <w:t>(6)</w:t>
            </w: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429,524*</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Jeffrey Schwartz</w:t>
            </w:r>
            <w:r>
              <w:rPr>
                <w:rFonts w:ascii="Times New Roman" w:cs="Times New Roman" w:eastAsia="Times New Roman" w:hAnsi="Times New Roman"/>
                <w:sz w:val="25"/>
                <w:szCs w:val="25"/>
                <w:color w:val="auto"/>
                <w:vertAlign w:val="superscript"/>
              </w:rPr>
              <w:t>(7)</w:t>
            </w:r>
          </w:p>
        </w:tc>
        <w:tc>
          <w:tcPr>
            <w:tcW w:w="19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Raymond W. Cohen</w:t>
            </w:r>
            <w:r>
              <w:rPr>
                <w:rFonts w:ascii="Times New Roman" w:cs="Times New Roman" w:eastAsia="Times New Roman" w:hAnsi="Times New Roman"/>
                <w:sz w:val="25"/>
                <w:szCs w:val="25"/>
                <w:color w:val="auto"/>
                <w:vertAlign w:val="superscript"/>
              </w:rPr>
              <w:t>(8)</w:t>
            </w: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29,994*</w:t>
            </w:r>
          </w:p>
        </w:tc>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Mary Kay Ladone</w:t>
            </w:r>
            <w:r>
              <w:rPr>
                <w:rFonts w:ascii="Times New Roman" w:cs="Times New Roman" w:eastAsia="Times New Roman" w:hAnsi="Times New Roman"/>
                <w:sz w:val="25"/>
                <w:szCs w:val="25"/>
                <w:color w:val="auto"/>
                <w:vertAlign w:val="superscript"/>
              </w:rPr>
              <w:t>(9)</w:t>
            </w:r>
          </w:p>
        </w:tc>
        <w:tc>
          <w:tcPr>
            <w:tcW w:w="19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12,994*</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Kevin Reilly </w:t>
            </w:r>
            <w:r>
              <w:rPr>
                <w:rFonts w:ascii="Times New Roman" w:cs="Times New Roman" w:eastAsia="Times New Roman" w:hAnsi="Times New Roman"/>
                <w:sz w:val="25"/>
                <w:szCs w:val="25"/>
                <w:color w:val="auto"/>
                <w:vertAlign w:val="superscript"/>
              </w:rPr>
              <w:t>(10)</w:t>
            </w:r>
          </w:p>
        </w:tc>
        <w:tc>
          <w:tcPr>
            <w:tcW w:w="19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Conor Hanley</w:t>
            </w:r>
          </w:p>
        </w:tc>
        <w:tc>
          <w:tcPr>
            <w:tcW w:w="19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Kwo</w:t>
            </w:r>
          </w:p>
        </w:tc>
        <w:tc>
          <w:tcPr>
            <w:tcW w:w="19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2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w:t>
            </w:r>
          </w:p>
        </w:tc>
        <w:tc>
          <w:tcPr>
            <w:tcW w:w="1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officers as a group (11 persons)</w:t>
            </w:r>
          </w:p>
        </w:tc>
        <w:tc>
          <w:tcPr>
            <w:tcW w:w="19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1,884,692</w:t>
            </w:r>
          </w:p>
        </w:tc>
        <w:tc>
          <w:tcPr>
            <w:tcW w:w="2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w:t>
            </w:r>
          </w:p>
        </w:tc>
        <w:tc>
          <w:tcPr>
            <w:tcW w:w="2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2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13G filed with the SEC on May 15, 2025. Includes 7,109,944 shares held directly by Bain Charger Holdings, L.P. (“Bain Charger”) and 19,909,281 shares indirectly held through West Affum Holdings, L.P. The shares held by West Affum Holdings, L.P. are held for the benefit of holders of its common units, including Bain Charger, until the time such shares are distributed to the holders of common units of West Affum Holdings, L.P. in accordance with its partnership agreement. Bain Charger is the sole shareholder of West Affum GP Ltd., which is the general partner of West Affum Holdings, L.P. As a result of the foregoing, Bain Charger may be deemed to have (i) voting power with respect to an aggregate of 24,949,838 shares, representing (x) 7,109,944 shares held directly by Bain Charger and (y) 17,839,894 Common Shares indirectly held by Bain Charger through West Affum Holdings, L.P., and (ii) dispositive power with respect to an aggregate of 27,019,225 shares. Bain Capital Investors, LLC (“BCI”) is the general partner of Bain Charger. As a result, BCI may be deemed to exercise voting and dispositive power with respect to the shares held by Bain Charger. Voting and investment decisions with respect to securities held by the Bain Charger are made by the partners of BCI, of whom there are three or more and none of whom individually has the power to direct such decisions. The address of BCI and the Bain Entity is c/o Bain Capital Private Equity, LP, 200 Clarendon Street, Boston, Massachusetts 02116.</w:t>
      </w:r>
    </w:p>
    <w:p>
      <w:pPr>
        <w:spacing w:after="0" w:line="4"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13G filed with the SEC on May 15, 2025. Includes 972,077 shares held directly by Endeavour Medtech Growth II LP and 1,628,023 shares indirectly held by Endeavour Medtech Growth II LP through West Affum Holdings, L.P., which Endeavour Medtech Growth</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II LP is entitled to receive, calculated based on the liquidation value of West Affum Holdings, L.P. immediately following the initial public offering of the Company, pursuant to an agreement between West Affum Holdings, L.P. and its partners to distribute common shares of the Company held by West Affum Holdings, L.P. to its partners approximately nine months after the consummation of the Company’s initial public offering (the “Post-IPO Distribution”); and 17,497 shares held directly by Endeavour Medtech Growth II Parallel LP and 29,302 shares indirectly held by Endeavour Medtech Growth II Parallel LP through West Affum Holdings, L.P., which Endeavour Medtech Growth II Parallel LP is entitled to receive in connection with the Post-IPO Distribution. Endeavour Medtech II GP Limited is the general partner of Endeavour Medtech Growth II LP and Endeavour Medtech Growth II Parallel LP (collectively, the “Endeavour Entities”). As a result, Endeavour Medtech II GP Limited may be deemed to exercise voting and dispositive power with respect to the shares held by Endeavour Medtech Growth II LP and Endeavour Medtech Growth II Parallel LP. Shares indirectly held by the Endeavour Entities which they are entitled to receive upon the Post-IPO Distribution are also included in the shares reported in the table above as beneficially owned by an affiliate of Bain Capital. The principal business address of the Endeavour Entities is c/o Endeavour Medtech Growth II LP, P.O. Box 656, East Wing Trafalgar Court, Les Banques, St Peter Port, Guernesy GY1 3PP.</w:t>
      </w:r>
    </w:p>
    <w:p>
      <w:pPr>
        <w:spacing w:after="0" w:line="2" w:lineRule="exact"/>
        <w:rPr>
          <w:sz w:val="20"/>
          <w:szCs w:val="20"/>
          <w:color w:val="auto"/>
        </w:rPr>
      </w:pP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Amendment No. 1 to Schedule 13G filed with the SEC on October 6, 2025. FMR LLC has sole voting and dispositive power with respect to 5,225,753 shares of common shares and reflects securities beneficially owned, or that may be deemed to be beneficially owned, by FMR LLC, Abigail P. Johnson and one or more other persons. The principal address for the FMR LLC entities is 245 Summer Street, Boston, MA 02210.</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309,342 shares held directly by Mr. Webster and 1,068,000 shares underlying vested options directly held by Mr. Webster. Does not include shares indirectly held by Mr. Webster through West Affum Holdings, L.P., over which Mr. Webster does not have voting or dispositive power and will only be entitled to receive upon the Post-IPO Distribution.</w:t>
      </w:r>
    </w:p>
    <w:p>
      <w:pPr>
        <w:spacing w:after="0" w:line="1" w:lineRule="exact"/>
        <w:rPr>
          <w:rFonts w:ascii="Times New Roman" w:cs="Times New Roman" w:eastAsia="Times New Roman" w:hAnsi="Times New Roman"/>
          <w:sz w:val="18"/>
          <w:szCs w:val="18"/>
          <w:color w:val="auto"/>
        </w:rPr>
      </w:pPr>
    </w:p>
    <w:p>
      <w:pPr>
        <w:ind w:left="540" w:right="300" w:hanging="424"/>
        <w:spacing w:after="0" w:line="265" w:lineRule="auto"/>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14,838 shares held directly by Mr. Mahboob. Does not include shares indirectly held by Mr. Mahboob through West Affum Holdings, L.P., over which Mr. Mahboob does not have voting or dispositive power and will only be entitled to receive upon the Post-IPO Distribution.</w:t>
      </w: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104,924 shares held directly by Ms. Umberger and 324,600 shares underlying vested options directly held by Ms. Umberger. Does not include shares indirectly held by Ms. Umberger through West Affum Holdings, L.P., over which Ms. Umberger does not have voting or dispositive power and will only be entitled to receive upon the Post-IPO Distribution.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Schwartz is c/o Bain Capital Private Equity, LP, 200 Clarendon Street, Boston, Massachusetts 02116.</w:t>
      </w:r>
    </w:p>
    <w:p>
      <w:pPr>
        <w:spacing w:after="0" w:line="9"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17,000 common shares held directly by Mr. Cohen and 12,994 restricted common shares held by Mr. Cohen subject to continued vesting conditions, which vest in one-third increments on July 24, 2025, July 24, 2026 and July 24, 2027.</w:t>
      </w:r>
    </w:p>
    <w:p>
      <w:pPr>
        <w:ind w:left="540" w:right="200" w:hanging="424"/>
        <w:spacing w:after="0" w:line="265" w:lineRule="auto"/>
        <w:tabs>
          <w:tab w:leader="none" w:pos="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12,994 restricted common shares held by Ms. Ladone subject to continued vesting conditions, which vest in one-third increments on October 7, 2025, October 7, 2026 and October 7, 2027. Does not include shares indirectly held by Ms. Ladone through West Affum Holdings, L.P., over which Ms. Ladone does not have voting or dispositive power and will only be entitled to receive upon the Post-IPO Distribution.</w:t>
      </w: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Reilly is c/o 430 Park Avenue, Floor 12, New York, NY 10022.</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7" w:lineRule="exact"/>
        <w:rPr>
          <w:sz w:val="20"/>
          <w:szCs w:val="20"/>
          <w:color w:val="auto"/>
        </w:rPr>
      </w:pPr>
    </w:p>
    <w:p>
      <w:pPr>
        <w:ind w:left="120" w:right="6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and provisions of our memorandum of association and amended and restated bye-laws are summaries. You should also refer to the memorandum of association and the amended and restated bye-laws, which are filed as exhibits to the registration statement of which this prospectus is part.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authorized share capital consists of 100,000,000 common shares with a par value of US$1.00 per share. Pursuant to our amended and restated bye-laws, subject to the requirements of the Nasdaq Global Select Market, and to any resolution of the shareholders to the contrary, our Board of Directors is authorized to issue any of our authorized but unissued shares. There are no limitations on the right of non-Bermudians or non-residents of Bermuda to hold or vote our shares provided our common shares remain listed on an appointed stock exchange, which includes the Nasdaq Global Select Market.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 company. Under our amended and 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shares are entitled to one vote per share on all matters submitted to a vote of holders of common shares. Unless a different majority is required by law or by our amended and restated bye-laws, ordinary resolutions to be approved by holders of common shares require approval by a simple majority of votes cast by shareholders entitled to vote at a quorate meeting or by written resolution.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Majority shareholders do not generally owe any duties to other shareholders to refrain from exercising all of the votes attached to their shares.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key powers of our shareholders include the power to alter the terms of our memorandum of association and to approve and thereby make effective any alterations to our amended and restated bye-laws made by the Board of Directors. Pursuant to Bermuda law, dissenting shareholders holding 20% in par value of our issued share capital may apply to the court to annul or vary an alteration to our memorandum of association. A majority vote against an alteration to our amended and restated bye-laws made by the Board of Directors prevents the alteration from becoming effective. Other key powers are to approve the alteration of our capital, including a reduction in share capital, to approve the removal of a director, to resolve that we will be wound up or discontinued from Bermuda to another jurisdiction or to enter into an amalgamation, merger or winding up. Under the Companies Act, all of the foregoing corporate actions require approval by an ordinary resolution (a simple majority of votes cast), unless a company’s bye-laws provide otherwise, which our amended and restated bye-laws do. Our amended and restated bye-laws provide that the Board of Directors may, with the sanction of a resolution passed by shareholders holding at least a majority of the issued shares entitled to vote and present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person or by proxy at a general meeting with the necessary quorum for such meeting being two persons at least holding or representing a majority of our issued shares entitled to vote at such meeting (provided that if the Company has only one shareholder, one shareholder present in person or by proxy is a quorum for such meeting), amalgamate or merge us with another company. In addition, our amended and restated bye-laws permits us to reduce our issued share capital with the authority of an ordinary resolution of the shareholders. Not less than ten days’ prior written notice of any resolution to reduce our issued share capital and a copy of such resolution shall be circulated to all shareholders who would be entitled to vote on the resolution at a general meeting at which the resolution could have been considered.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Companies Act provides that a company shall not be bound to take notice of any trust or other interest in its shares. There is a presumption that all the rights attaching to shares are held by, and are exercisable by, the registered holder, by virtue of being registered as a member of the company. Our relationship is with the registered holder of our shares. If the registered holder of the shares holds the shares for someone else (the beneficial owner), then the beneficial owner is entitled to the shares and may give instructions to the registered holder on how to vote the shares. The Companies Act provides that the registered holder may appoint more than one proxy to attend a shareholder meeting, and consequently where rights to shares are held in a chain the registered holder may appoint the beneficial owner as the registered holder’s proxy.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Conversion Rights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Companies Act does not, and our amended and restated bye-laws do not, confer any pre-emptive or sinking fund rights attached to our common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Shares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balance sheet restrictions, the Companies Act permits a company to purchase its own shares if it is able to do so without becoming cash flow insolvent as a result. Where a company purchases its own shares, such shares may be cancelled (in which event, the company’s issued, but not its authorized, capital will be diminished accordingly) or held as treasury shares. The restrictions are that the par value of the share must be charged against the company’s issued share capital account or a company fund which is available for dividend or distribution or be paid for out of the proceeds of a fresh issue of shares. Any premium paid on the repurchase of shares must be charged to the company’s current share premium account or charged to a company fund which is available for dividend or distribution. The Companies Act does not impose any requirement that the directors shall make a general offer to all shareholders to purchase their shares pro rata to their respective shareholdings. Our amended and restated bye-laws do not contain any specific rules regarding the procedures to be followed by us when purchasing our common shares, and consequently the primary source of our obligations to shareholders are the rules of the Nasdaq Global Select Market.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shares are entitled to share in our assets, if any, remaining after the payment of all of our debts and liabilities, subject to any liquidation preference on any outstanding preference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Bermuda law and our amended and restated bye-laws, our Board of Directors may, by resolution,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our Board of Directors without any further shareholder approval. Such rights, preferences, powers and limitations, as may be established, could have the effect of discouraging an attempt to obtain control of our company.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at any time we have more than one class of shares, the rights attaching to any class, unless otherwise provided for by the terms of issue of the relevant class, may be varied either: (1) with the consent in writing of the holders of 75% of the issued shares of that class; or (2) with the sanction of a resolution passed by a simple majority of the votes cast at a general meeting of the relevant class of shareholders at which a quorum of two or more persons holding (or representing by proxy) at least one-third of the issued shares of the applicable class is present. Our amended and restated bye-laws specify that the creation or issue of shares ranking equally with existing preference shares do not, unless expressly provided by the terms of issue of existing preference shares, vary the rights attached to existing preference shares. In addition, the creation or issue of preference shares ranking prior to common shares are not deemed to vary the rights attached to common shares or, subject to the terms of any other class or series of preference shares, to vary the rights attached to any other class or series of preference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and must refuse to register the transfer unless all applicable consents, authorizations and permissions of any governmental agency or body in Bermuda have been obtained. Subject to these restrictions, a holder of common shares may transfer the title to all or any of his common shares by completing a form of transfer in such common form as our Board of Directors may accept. If required, the instrument of transfer must be signed by the transferor and transferee, although in the case of a fully paid share our Board of Directors may accept the instrument signed only by the transferor. Our common shares may also be transferred without a written instrument if transferred by an appointed agent or otherwise in accordance with the Companies Act. Notwithstanding the foregoing, shares that are listed may be transferred in accordance with the rules and regulations of the exchange on which the shares are listed.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Bermuda law, a company is required to convene an annual general meeting of shareholders each calendar year (the “annual general meeting”). However, the shareholders may by resolution waive this requirement, either for a specific year or period of time, or indefinitely. When the requirement has been so waived, any shareholder may, on notice to the company, terminate the waiver no more than three months before the end of the year, in which case an annual general meeting must be called. We have chosen not to waive the convening of an annual general meeting.</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entitled to receive notice does not invalidate the proceedings at a meeting. Our amended and restated bye-laws provide that at least ten days but not more than sixty days advance notice be given to shareholders entitled to receive notice of the annual general meeting and of any special general meeting.</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bye-laws establish advance notice procedures with respect to shareholder proposals and the nomination of candidates for election as directors. In order for any matter to be “properly brought” before a meeting, a shareholder has to comply with advance notice requirements and provide us with certain information. Our amended and restated bye-laws allow the chairperson of the meeting of shareholders to adopt rules and regulations for the conduct of meetings which may have the effect of precluding the conduct of certain business at a meeting if the rules and regulations are not followed.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provisions may defer, delay or discourage a potential acquirer from conducting a solicitation of proxies to elect the acquirer’s own slate of directors or otherwise attempting to obtain control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Access to Books and Records and Dissemination of Information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in the annual general meeting (unless all the shareholders and all of the directors agree to dispense with this requirement).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bye-laws provide that, except in relation to the right of the holders of any series of preference shares to elect additional directors, our Board of Directors shall be a minimum number of six directors and a maximum number of eleven directors, or such number in excess thereof as the Company may from time to time determine by resolution of the Board of Directors. Until our 2031 annual meeting of Shareholders (the “2031 Annual Meeting”, our Board of Directors will consist of three classes of directors (other than those directors elected by the holders of any series of preference shares, voting separately as a series or together with one or more other such series, as the case may be). Prior to the 2031 Annual Meeting, each director serves a three-year term. From and after the 2031Annual Meeting, our Board of Directors will be declassified and our directors will be elected to hold office for a one-year term expiring at the next annual general meeting of shareholders.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be elected, directors must receive a majority of the votes cast by shareholders who are entitled to vote at the applicable shareholder meeting; provided that where the number of persons validly proposed for re-election or election as a director is greater than the number of directors to be elected, the persons receiving the most votes (up to the number of directors to be elected) will be elected as directors, and an absolute majority of the votes cast shall not be a prerequisite to the election of such directors. Any one or more vacancies on the Board of Directors not filled at any general meeting, and any new vacancy created by the Board of Directors as a result of increasing the size of the Board of Directors, can be filled by the Board. Prior to the Triggering Annual Meeting, a director so appointed shall hold office for a term that shall coincide with the remaining term of its class of directors. From and after the Triggering Annual Meeting, a director so appointed will hold office until the next election of directors and until his or her successor will be elected and qualified, subject to prior death, resignation, retirement, disqualification or removal from office.</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shares, a director may be removed by the shareholders with or without cause with the affirmative vote of the holders of a majority of the issued shares entitled to vote; provided that from and after the Trigger Event, a director may be removed, only with cause, by a resolution passed by shareholders holding at least 66 2/3% of the issued shares entitled to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Section 98 of the Companies Act provides generally that a Bermuda company may indemnify its directors, officers and auditors against any liability which by virtue of any rule of law would otherwise be imposed on them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bye-laws to be in effect upon the closing of this offering will provide that we shall indemnify our directors and any officers appointed by our Board of Directors to the fullest extent permitted by applicable law; provided, however, that if a director or an officer is a party to an indemnification agreement with us, then the terms of the indemnification agreement shall apply instead of the provisions in our amended and restated bye-laws.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memorandum of association and Bye-laws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Our amended and restated bye-laws generally provide that no bye-law shall be rescinded, altered or amended, and no new bye-law shall be made, nor shall our memorandum of association be altered or amended, save in accordance with the Companies Act and unless such change has been approved by a resolution of our Board of Directors and by a resolution of our shareholders. However, from and after the Trigger Event, no bye-law shall be rescinded, altered or amended, and no new bye-law shall be made, nor shall our memorandum of association be altered or amended, save in accordance with the Companies Act and unless such change has been approved by a resolution of our Board of Directors and a resolution passed by shareholders holding at least 66 2/3% of all issued shares entitled to vote thereon.</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Amalgamations and Mergers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at least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the amalgamation or merger agreement by at least a majority of the issued shares entitled to vote and present in person or by proxy at the applicable meeting shall be sufficient (other than in respect of any amalgamation or merger constituting a “business combination”), and the quorum for such meeting shall be two or more persons holding or representing at least a majority of the issued shares entitled to vote; provided that if the company shall at any time have only one shareholder, one shareholder present in person or by proxy shall form a quorum for such meeting.</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or merger and who is not satisfied that fair value has been offered for such shareholder’s shares may, within one month of the giving of the notice of the shareholders meeting, apply to the Supreme Court of Bermuda to appraise the fair value of those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Although the Companies Act does not contain specific provisions regarding “business combinations” between companies organized under the laws of Bermuda and “interested shareholders,” we have included these provisions in our amended and restated bye-laws. Specifically, our amended and restated bye-laws contain provisions which prohibit us from engaging in a business combination with an interested shareholder for a period of three years after the time of the transaction in which the person became an interested shareholder, unless:</w:t>
      </w:r>
    </w:p>
    <w:p>
      <w:pPr>
        <w:spacing w:after="0" w:line="85" w:lineRule="exact"/>
        <w:rPr>
          <w:sz w:val="20"/>
          <w:szCs w:val="20"/>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that the shareholder became an interested shareholder, our Board of Directors approved either the business combination or the transaction that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issued voting shares outstanding at the time the transaction commenced; or</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time of the transaction that resulted in the shareholder becoming an interested shareholder, the business combination is approved by our Board of Directors and authorized at an annual general meeting or special general meeting of shareholders by the affirmative vote of at least 66 2/3% of our issued shares entitled to vote that are not owned by the interested shareholder.</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these provisions, a “business combination” includes mergers, amalgamations, consolidations, exchanges, asset sales, leases, issues or transfers of shares or other securities and certain other transactions resulting in a financial benefit to the interested shareholder. An “interested shareholder” is any person or entity that beneficially owns 15% or more of our issued and outstanding voting shares (other than Bain Charger Holdings, L.P. (“Bain Charger”) and its affiliates) and any affiliate or associate of that person or entity.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Suits and Choice of Forum</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Shareholder class actions and derivative actions are generally not available to shareholders under Bermuda law in the same way that they are under the laws in the United States.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7"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5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bye-laws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any fiduciary duty) by, or other wrongdoing by, a current or former officer, director, employee, agent or shareholder of the Company to the Company or its shareholders (whether or not such a claim is brought in the name of a shareholder or in the name of the Company). Further, unless we select or consent to the selection of an alternative forum, to the fullest extent permitted by applicable law, the federal district courts of the United States shall be the exclusive forum for the resolution of any complaint asserting a cause of action arising under the Securities Act against the Company or any director, officer, employee or agent of the Company. Notwithstanding the foregoing, the provisions of this paragraph will not apply to suits brought to enforce any liability or duty created by the Exchange Act.</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Investors cannot waive compliance with the federal securities laws and the rules and regulations thereunder. Any person or entity purchasing or otherwise acquiring an interest in any of our common shares shall be deemed to have notice of and to have consented to the forum provisions in our amended and restated bye-laws. It is possible that, in connection with one or more actions or proceedings described above, a court could rule that this provision in our amended and restated bye-laws is inapplicable or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Capitalization of Profits and Reserves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w:t>
      </w:r>
    </w:p>
    <w:p>
      <w:pPr>
        <w:spacing w:after="0" w:line="1" w:lineRule="exact"/>
        <w:rPr>
          <w:sz w:val="20"/>
          <w:szCs w:val="20"/>
          <w:color w:val="auto"/>
        </w:rPr>
      </w:pPr>
    </w:p>
    <w:p>
      <w:pPr>
        <w:jc w:val="both"/>
        <w:ind w:left="120" w:right="340" w:hanging="4"/>
        <w:spacing w:after="0" w:line="290" w:lineRule="auto"/>
        <w:tabs>
          <w:tab w:leader="none" w:pos="37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 any sum standing to the credit of a reserve account or sums otherwise available for dividend or distribution by paying up in full, partly paid or nil paid shares of those shareholders who would have been entitled to such sums if they were distributed by way of dividend or distribution.</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Untraced Shareholders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Our amended and restated bye-laws provide that our Board of Directors may forfeit any dividend or other monies payable in respect of any shares that remain unclaimed for six years from the date when such monies became due for payment and as such will cease to remain owing by the Company.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Bermuda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This designation allows us to engage in transactions in currencies other than the Euro, and there are no restrictions on our ability to transfer funds (other than funds denominated in Euros) in and out of Ireland or to pay dividends to U.S. residents who are holders of our common shares.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Provided our common shares remain listed on an appointed stock exchange, which includes the Nasdaq Global Select Market, for the purposes of the Bermuda Companies Act, the issue and transfer of common shares will be exempted from the application of the BO Act.</w:t>
      </w:r>
    </w:p>
    <w:p>
      <w:pPr>
        <w:spacing w:after="0" w:line="162"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Substance Act</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Bermuda’s economic substance laws are contained in the Economic Substance Act 2018, as amended, and the Economic Substance Regulations 2018, as amended (together the “ESA”). The ESA was enacted to demonstrate Bermuda’s commitment to comply with international standards with respect to cooperation for tax purposes and to ensure that Bermuda does not facilitate the use of structures which attract profits, but which do not reflect real economic activity within Bermuda. The ESA provides that a registered entity other than an entity which is resident for tax purposes in certain jurisdictions outside Bermuda (“non-resident entity”) that carries on as a business any one or more of the “relevant activities” referred to in the ESA must comply with economic substance requirements. The list of “relevant activities” includes carrying on any one or more of the following activities: banking, insurance, fund management, financing, leasing, headquarters, shipping, distribution and service center, intellectual property and holding entities. Under the ESA, if an entity is engaged in one or more “relevant activities,” it is required to maintain a substantial economic presence in Bermuda and to comply with the economic substance requirements set forth in the ESA. An entity will comply with those economic substance requirements if it: (a) is managed and directed in Bermuda; (b) undertakes “core income generating activities” (as may be prescribed under the ESA) in Bermuda in respect of the relevant activity; (c) maintains adequate physical presence in Bermuda; (d) has adequate senior executives, employees or other persons in Bermuda with suitable qualifications; and (e) incurs adequate operating expenditure in Bermuda in relation to the relevant activity undertaken by it.</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ESA requires entities subject to it to make annual filings with the Bermuda Registrar of Companies to demonstrate the economic substance of the entity’s activities and business in Bermuda. The Company does not currently file any ESA declarations as it does not conduct a relevant activity for the purposes of the ESA.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memorandum of association and our amended and restated bye-laws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shareholders. However, they may also discourage acquisitions that some shareholders may favor. These provisions include:</w:t>
      </w:r>
    </w:p>
    <w:p>
      <w:pPr>
        <w:spacing w:after="0" w:line="8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until the 2031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only to be removed for cause and only with a resolution passed by holders of at least 66 2/3% of all issued shares entitled to vote, from and after the Trigger Event;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2031 Annual Meeting, amendments to our amended and restated bye-laws and memorandum of association require the approval of our Board of Directors and a resolution passed by holders of at least 66 2/3% of all issued shares entitled to vote;</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2031 Annual Meeting, only permit shareholder action by written consent when it is unanimously approved by our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time period in which directors may be nominated;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shareholders’ ability to call special general meetings;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our amended and restated bye-laws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of more of our issued voting shares.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Maples Corporate Services (Bermuda) Limited in Bermuda acts as our registrant, and a branch register is maintained in the United States by Computershare Trust Company, N.A.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Computershare Trust Company, N.A is our transfer agent.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“KMTS.”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40"/>
          </w:cols>
          <w:pgMar w:left="320" w:top="455" w:right="9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Future sales of our common shares in the public market after this offering, or the perception that these sales could occur, could adversely affect prevailing market prices for our common shares and could impair our future ability to raise equity capital.</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Based on the number of common shares issued as of July 31, 2025, upon the closing of this offering and assuming no exercise by the underwriters of their option to purchase up to an additional 900,000 common shares, 57,348,656 common shares will be outstanding. Of these shares, the 13,664,704 common shares sold in our initial public offering and all of the common shares sold in this offering will be freely tradable without restrictions or further registration under the Securities Act, except for any shares sold to our affiliates, as defined in Rule 144 under the Securities Act. The remaining common shares held by existing shareholders are restricted securities, as that term is defined in Rule 144 under the Securities Act. Restricted securities may be sold in the public market, subject to the terms of any lock-up agreements applicable to those shares, only if registered or if their resale qualifies for exemption from registration, such as under Rule 144 or Rule 701 as promulgated under the Securities Act and described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general, persons who have beneficially owned our common shares for at least six months, and any affiliate of the company who owns our common shares, are entitled to sell their securities without registration with the SEC under an exemption from registration provided by Rule 144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Non-Affiliates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Any person who is not deemed to have been one of our affiliates at the time of, or at any time during the three months preceding, a sale may sell an unlimited number of common shares under Rule 144 if:</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held for at least six months, including the holding period of any prior owner other than one of our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subject to the Exchange Act periodic reporting requirements for at least 90 days before the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 in our Exchange Act reporting at the time of sale.</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Any person who is not deemed to have been an affiliate of ours at the time of, or at any time during the three months preceding, a sale and has held the common shares for at least one year, including the holding period of any prior owner other than one of our affiliates, will be entitled to sell an unlimited number of common shares without regard to the length of time we have been subject to Exchange Act periodic reporting or whether we are current in our Exchange Act reporting.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Affiliates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85"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our common shares then outstanding, which will equal approximately 573,000 shares immediately after the closing of this offering,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shares on the Nasdaq Global Select Market during the four calendar weeks preceding the filing of a notice on Form 144 with respect to the sale.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Our employees, executive officers or directors who purchase shares under a written compensatory plan or contract will be entitled to rely on the resale provisions of Rule 701, subject to any applicable lock-up agreements described below and Rule 144 limitations applicable to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S-8 under the Securities Act to register our common shares that are subject to outstanding options and awards issuable pursuant to our 2025 Omnibus Incentive Plan. Shares covered by such registration statement are eligible for sale in the public markets, subject to vesting restrictions, any applicable lock-up agreements described below and Rule 144 limitations applicable to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and our executive officers and directors have entered into lock-up agreements with the underwriters or otherwise agreed, subject to certain exceptions, that we and they will not, directly or indirectly, 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file any registration statement with the SEC relating to the offering of any common shares or any securities convertible into or exercisable or exchangeable for common shares; enter into any swap or other arrangement that transfers to another, in whole or in part, any of the economic consequences of ownership of common shares; or make any demand for, or exercise any right with respect to, the registration of any common shares of or any security convertible into or exercisable or exchangeable for common shares, without the prior written consent of BofA Securities, Inc. and Piper Sandler &amp; Co., for a period of 60 days from the date of this prospectus. See the section titled “Underwriting—No Sales of Similar Securities” for more information on the lock-up agreements.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a description of rights that certain of our stockholders will have to require us to register the shares of our common shares they own, see the section captioned “Transactions with Related Parties—Registration Rights Agreement” in our Proxy Statement for our 2025 Annual Meeting of Shareholders filed with the SEC on July 22, 2025, which section is incorporated by reference into this prospectus. Registration of these shares under the Securities Act would result in these shares becoming freely tradable immediately upon effectiveness of such registration.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BERMUDA, IRISH AND U.S. FEDERAL INCOME TAX CONSIDERATIONS</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material Bermuda, Irish and U.S. federal income tax considerations that may be relevant to an investment decision by a potential investor with respect to our common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Bermuda Tax Considerations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current law, we are not subject to tax on income or profits tax, withholding tax, capital gains tax, capital transfer tax, estate duty or inheritance tax payable by us or by our shareholders in respect of our common shares. Furthermore, we have obtained an assurance from the Minister of Finance of Bermuda under the Exempted Undertakings Tax Protection Act 1966 (the “EUTP Act”) that, in the event that any legislation is enacted in Bermuda imposing any tax computed on profits or income, or computed on any capital asset, gain or appreciation or any tax in the nature of estate duty or inheritance tax, such tax shall not, until March 31, 2035, be applicable to us or to any of our operations or to our shares, debentures or other obligations except insofar as such tax applies to persons ordinarily resident in Bermuda or is payable by us in respect of real property owned or leased by us in Bermuda. As a result of changes made to the EUTP Act by the CIT Act (as defined below), this assurance has been made subject to the application of any taxes pursuant to the CIT Act, as described further below.</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20, 2021, the OECD published the Pillar Two / Global Minimum Tax Rules which are aimed at ensuring that large multinational enterprises will be subject to a global minimum 15% tax rate (“Pillar Two”). The European Union Council Directive (EU) 2022/2523, adopted on December 15, 2022, requires that E.U. Member States implement the Pillar Two rules into domestic law by December 31, 2023. The Bermuda Government has responded to the Pillar Two initiative passing the Corporate Income Tax Act 2023 (the “CIT Act”), on December 27, 2023, to introduce a corporate income tax on certain Bermuda entities with effect from January 1, 2025. As a result of changes made to the EUTP Act by the CIT Act, this assurance has been made subject to the application of any taxes pursuant to the CIT Act, as described further below.</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2023 Budget, the Bermuda Government announced the formation of an International Tax Working Group consisting of specialists in international tax matters and representatives of various bodies whose members may be directly impacted by such to examine how Bermuda can appropriately implement the Pillar Two initiative. The Working Group reported its findings and provided recommendations to the Bermuda Government in July 2023. The Bermuda Government subsequently issued three public consultation papers as part of its considerations on the introduction of a corporate income tax in Bermuda, on August 8, 2023, October 5, 2023 and November 10, 2023. On December 15, 2023, Bermuda passed the CIT Act, which became fully operative with respect to the imposition of corporate income tax on January 1, 2025. The Corporate Income Tax Act 2023 Amendment Regulations 2024 (the “Regulations”) amending the CIT Act were made on 20 December 2024 by the Minister of Finance in Bermuda. (For the purposes of this summary, references to CIT Act are to the CIT Act, as amended by the Regulations.)</w:t>
      </w:r>
    </w:p>
    <w:p>
      <w:pPr>
        <w:spacing w:after="0" w:line="192"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 Ministry of Finance in Bermuda has issued guidance in the form of Frequently Asked Questions (FAQs) with respect to the CIT Act (mostly recently dated November 18, 2024) and intends to develop further FAQs in response to developments in the application of the law, and in international tax laws and practices in other jurisdictions, and which may impact the application of the CIT Act in practice, and further changes may apply.</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primary stated objective in developing the corporate income tax is to ensure to the greatest extent possible that it is not a material incremental expense by ensuring that the Bermuda corporate income tax qualifies as a Covered Tax for the purposes of the GloBE Rules and thereby reduce the amount, if any, of top-up tax payable to other jurisdictions and prevent the double taxation of profits earned in Bermuda. A second stated objective is the desire to remain aligned so far as practicable with the GloBE Rules.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Under the CIT Act, Bermuda corporate income tax will be chargeable in respect of fiscal years beginning on or after January 1, 2025 and will apply only to Bermuda Constituent Entities (as defined in the CIT Act) of an In Scope MNE Group (as defined in the CIT Act).</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 ‘Bermuda Constituent Entity’ is a Bermuda Tax Resident Entity or a Bermuda Permanent Establishment (each as defined in the CIT Act). A ‘Bermuda Tax Resident Entity’ means an entity that is incorporated, formed or organised in Bermuda unless the entity is tax resident in another jurisdiction under the laws of that jurisdiction based on its location of management and control. A ‘Bermuda Permanent Establishment’ means A fixed place of business in Bermuda through which the business of an entity which is not a Bermuda Tax Resident Entity is wholly or partly carried on as determined in accordance with Article 5 of the OECD Model Tax Convention.</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 In Scope MNE Group for these purposes is a group which meets the relevant revenue threshold (EUR 750 million or more in annual revenues in at least two of the four fiscal years immediately preceding the fiscal year in question) and is a MNE Group (being a group (as defined in the CIT Act) comprising of an ultimate parent entity and one or more entities (which includes permanent establishments) located in another jurisdiction). For MNE Groups that meet the revenue threshold, corporate income tax will generally apply to each Bermuda Tax Resident Entity and Bermuda Permanent Establishment that is a constituent entity of such MNE Group.</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note that, following the consummation of this offering and on the assumption that Kestra Medical Technologies, Ltd. will become tax resident in Ireland based under the laws of Ireland based on its location of management and control (as described in the section titled “Organizational Transactions”). Based on this and the assumption that Kestra Medical Technologies, Ltd. will not be a Bermuda Permanent Establishment (as defined in the CIT Act), we anticipate that Kestra Medical Technologies, Ltd. will not be a Bermuda Constituent Entity Group for purposes of the CIT Act and that it will not be considered in scope for the purposes of the CIT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Irish Tax Considerations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of the main Irish tax considerations that will become applicable to certain investors who are the owners of our common shares following the establishment of the Company’s tax residency in Ireland following the consummation of this offering. It is based on existing Irish law and our understanding of the practices of the Irish Revenue Commissioners on the date of this document. Legislative, administrative or judicial changes may modify the tax consequences described below.</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statements do not constitute tax advice and are intended only as a general guide. Furthermore, this information applies only to our shares that are held as capital assets and does not apply to all categories of shareholders, such as dealers in securities, trustees, insurance companies, collective investment schemes or shareholders who have, or who are deemed to have, acquired their shares by virtue of an office or employment. This summary is not exhaustive and shareholders should consult their own tax advisers as to the tax consequences in Ireland, or other relevant jurisdictions of this offering, including the acquisition, ownership and disposition of our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on Chargeable Gains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 disposal of our shares by a shareholder who is not resident or ordinarily resident for tax purposes in Ireland should not give rise to Irish tax on any chargeable gain realized on such disposal unless such shares are used, held or acquired for the purposes of a trade or business carried on by such shareholder through a branch or agency in Ireland.</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A disposal of our shares by an Irish resident or ordinarily resident shareholder may, depending on the circumstances (including the availability of exemptions and reliefs), give rise to a chargeable gain or allowable loss for that shareholder. The rate of capital gains tax in Ireland is currently 33%.</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holder of our shares who is an individual and who is temporarily non-resident in Ireland may, under Irish anti-avoidance legislation, be liable to Irish tax on any chargeable gain realized on a disposal during the period in which such individual is non-resident.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Dividend withholding tax, or DWT, (currently at a rate of 25%) may arise in respect of dividends or distributions from an Irish tax resident company, such as the Company when it establishes tax residence in Ireland unless an exemption applies. Where DWT does arise in respect of dividends, the company is responsible for deducting DWT at source and forwarding the relevant payment to the Irish Revenue Commissioners.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shareholders are entitled to an exemption from DWT. In particular, dividends to a non-Irish resident shareholder should not be subject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DWT if the shareholder is beneficially entitled to the dividend and is:</w:t>
      </w:r>
    </w:p>
    <w:p>
      <w:pPr>
        <w:spacing w:after="0" w:line="112" w:lineRule="exact"/>
        <w:rPr>
          <w:sz w:val="20"/>
          <w:szCs w:val="20"/>
          <w:color w:val="auto"/>
        </w:rPr>
      </w:pPr>
    </w:p>
    <w:p>
      <w:pPr>
        <w:ind w:left="1080" w:right="1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shareholder resident for tax purposes in a “relevant territory” and the individual is neither resident nor ordinarily resident in Ireland;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resident for tax purposes in a “relevant territory” provided that the corporate shareholder is not under the control, whether directly or indirectly, of a person or persons who is or are resident in Ireland;</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not resident for tax purposes in Ireland and which is ultimately controlled, directly or indirectly, by persons resident in a “relevant territory”;</w:t>
      </w:r>
    </w:p>
    <w:p>
      <w:pPr>
        <w:spacing w:after="0" w:line="67"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not resident for tax purposes in Ireland and whose principal class of shares (or those of its 75% parent) is substantially and regularly traded on a stock exchange in Ireland, a recognized stock exchange in a “relevant territory” or on such other stock exchange approved by the Irish Minister for Finance; or</w:t>
      </w:r>
    </w:p>
    <w:p>
      <w:pPr>
        <w:spacing w:after="0" w:line="81"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not resident for tax purposes in Ireland and is wholly owned, directly or indirectly, by two or more companies where the principal class of shares of each of such companies is substantially and regularly traded on a stock exchange in Ireland, a recognized stock exchange in a “relevant territory” or on such other stock exchange approved by the Irish Minister for Finance, and provided that, in all cases noted above (but subject to the exception in the paragraph below regarding “U.S. Resident Shareholders”), the shareholder has provided a relevant Irish DWT declaration form to his or her broker before the record date for the dividend (in the case of shares held through DTC), and the relevant information is further transmitted to the Company (in the case of shares held through DTC) or to our transfer agent (in the case of shares held outside of DTC).</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list of “relevant territories” for the purposes of DWT is set forth below.</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Albania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Iceland</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Qatar</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Armenia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Romania</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Israel</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Bahrain</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Serbia</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Belarus</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Kenya</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Slovak Republic</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Bosnia &amp; Herzegovina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Kosovo</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Slovenia</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Botswana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Kuwait</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Latvia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Latvia</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Lithuania</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Bulgaria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Liechtenstein</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Luxembourg</w:t>
            </w:r>
          </w:p>
        </w:tc>
        <w:tc>
          <w:tcPr>
            <w:tcW w:w="1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Macedonia</w:t>
            </w:r>
          </w:p>
        </w:tc>
        <w:tc>
          <w:tcPr>
            <w:tcW w:w="31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The Republic of Korea</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31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The Republic of Turkey</w:t>
            </w:r>
          </w:p>
        </w:tc>
      </w:tr>
      <w:tr>
        <w:trPr>
          <w:trHeight w:val="364"/>
        </w:trPr>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529"/>
        </w:trPr>
        <w:tc>
          <w:tcPr>
            <w:tcW w:w="380" w:type="dxa"/>
            <w:vAlign w:val="bottom"/>
            <w:tcBorders>
              <w:top w:val="single" w:sz="8" w:color="0000EE"/>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Croatia</w:t>
            </w:r>
          </w:p>
        </w:tc>
        <w:tc>
          <w:tcPr>
            <w:tcW w:w="1740" w:type="dxa"/>
            <w:vAlign w:val="bottom"/>
          </w:tcPr>
          <w:p>
            <w:pPr>
              <w:spacing w:after="0"/>
              <w:rPr>
                <w:sz w:val="24"/>
                <w:szCs w:val="24"/>
                <w:color w:val="auto"/>
              </w:rPr>
            </w:pP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Malta</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Ukraine</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Cyprus</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Czech Republic</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Moldova</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Denmark</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Montenegro</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Egypt</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Morrocco</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Finland</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Zambia</w:t>
            </w: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Norway</w:t>
            </w: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Oman</w:t>
            </w: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Pakistan</w:t>
            </w: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Ghana</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Panama</w:t>
            </w: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Greece Hong Kong</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Porland</w:t>
            </w:r>
          </w:p>
        </w:tc>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4"/>
        </w:trPr>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Hungary</w:t>
            </w:r>
          </w:p>
        </w:tc>
        <w:tc>
          <w:tcPr>
            <w:tcW w:w="13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Portuguese Republic</w:t>
            </w:r>
          </w:p>
        </w:tc>
        <w:tc>
          <w:tcPr>
            <w:tcW w:w="114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paying any dividend, the Company intends to put in place an agreement with an entity which is recognized by the Irish Revenue Commissioners as a “qualifying intermediary” which satisfies one of the Irish requirements for dividends to be paid free of DWT to certain shareholders who hold their shares through DTC.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Resident Shareholders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Dividends paid in respect of shares in an Irish resident company that are owned by residents of the United States and held through DTC will not be subject to DWT provided that the address of the beneficial owner of the shares in the records of the broker is in the United States. We strongly recommend that such shareholders ensure that their information has been properly recorded by their brokers (so that such brokers can provide the relevant information to a qualifying intermediary appointed by us).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Dividends paid in respect of shares in an Irish resident company that are owned by residents of the United States and held outside of DTC will not be subject to DWT provided that the shareholder has completed the relevant Irish DWT declaration form and this declaration form remains valid. Such shareholders must provide the relevant Irish DWT declaration form to our transfer agent at least seven business days before the record date for the first dividend payment to which they are entitled.</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 U.S. resident shareholder receives a dividend subject to DWT, that shareholder should generally be able to make an application for a refund of DWT from the Irish Revenue Commissioners subject to certain time limits.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Residents of “Relevant Territories” other than the United States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Shareholders who are residents of “relevant territories” other than the United States (regardless of when such shareholders acquired their shares) must complete the appropriate Irish DWT declaration form in order to receive dividends without DWT.</w:t>
      </w:r>
    </w:p>
    <w:p>
      <w:pPr>
        <w:spacing w:after="0" w:line="16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Shareholders must provide the appropriate Irish DWT declaration form to their brokers (so that such brokers can provide the relevant information to a qualifying intermediary appointed by us) before the record date for the first dividend to which they are entitled (in the case of shares held through DTC), or to our transfer agent at least seven business days before such record date (in the case of shares held outside of DTC). We strongly recommend that such shareholders complete the appropriate Irish DWT declaration form and provide them to their brokers or our transfer agent as soon as possible.</w:t>
      </w:r>
    </w:p>
    <w:p>
      <w:pPr>
        <w:spacing w:after="0" w:line="164"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If a shareholder who is resident in a “relevant territory” and entitled to an exemption from our DWT receives a dividend subject to DWT, that shareholder should generally be able to make an application for a refund of DWT from the Irish Revenue Commissioners subject to certain time limits.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46"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Irish Resident Shareholders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Irish tax resident or ordinarily resident shareholders will generally be subject to DWT in respect of dividends or distributions received from an Irish resident company.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Irish tax resident or ordinarily resident shareholders that are entitled to receive dividends without DWT must complete the relevant Irish DWT declaration form and provide the declaration form to their brokers (so that such brokers can provide the relevant information to a qualifying intermediary appointed by us) before the record date for the first dividend to which they are entitled (in the case of shares held through DTC), or to our transfer agent at least seven business days before such record date (in the case of shares held outside of DTC).</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Irish tax resident or ordinarily resident shareholders who are not entitled to an exemption from DWT and who are subject to Irish tax should consult their own tax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Persons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Shareholders that do not fall within one of the categories mentioned above may fall within other exemptions from DWT.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a shareholder is exempt from DWT but receives a dividend subject to DWT, that shareholder may be able to claim a refund of DWT from the Irish Revenue Commissioners subject to certain time limits.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on Dividends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Non-Irish Resident Shareholders. A shareholder who is not resident or ordinarily resident for tax purposes in Ireland and who is entitled to an exemption from DWT, generally has no liability to Irish income tax or income charges on a dividend from an Irish resident company unless that shareholder holds the shares through a branch or agency which carries on a trade in Ireland.</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shareholder who is not resident or ordinarily resident for tax purposes in Ireland and who is not entitled to an exemption from DWT, generally has no additional liability to Irish income tax or income charges unless that shareholder holds the shares through a branch or agency which carries on a trade in Ireland. The shareholder’s liability to tax is effectively limited to the amount of DWT already deducted by the company.</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Irish Resident Shareholders. Irish resident or ordinarily resident individual shareholders may be subject to Irish income tax and income charges such as pay related social insurance (PRSI) and the Universal Social Charge (USC) on dividends received from us. Such shareholders should consult their own tax adviser. Irish resident corporate shareholders should not be subject to tax on dividends from us on the basis that the dividend is not in respect of preference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Irish stamp duty should not be payable in respect of transfers of our common shares for cash.</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Acquisitions Tax</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Irish capital acquisitions tax comprises principally gift tax and inheritance tax on property situated in Ireland for capital acquisitions tax purposes or otherwise within the territorial scope of capital acquisitions tax by virtue of the Irish tax residence, ordinary tax residence or domicile of the donor or donee of the gift or inheritance.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It is considered that the common shares are not Irish situate property for the purposes of Irish capital acquisitions tax. As such a gift or inheritance of our common shares should not be within the charge to Irish capital acquisitions tax if both the donor and the donee are not tax resident or ordinarily resident in Ireland at the relevant date of the gift or inheritance.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either a donor or donee of our common shares is resident or ordinarily resident in Ireland at the time of the gift or inheritance they may be within the charge to Irish capital acquisitions tax and they should consult their own tax advisers as to the Irish tax consequences.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for U.S. 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to a U.S. Holder (as defined below), under current law, of the purchase, ownership, and disposition of our common shares acquired pursuant to this offering. It does not describe all tax considerations that may be relevant to a particular person’s decision to acquire our common shares. This discussion applies only to a U.S. Holder that holds our common shares as a capital asset for U.S. federal income tax purposes (generally, property held for investment) within the meaning of Section 1221 of the Code, and this discussion applies only such common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in special tax situations, such as:</w:t>
      </w:r>
    </w:p>
    <w:p>
      <w:pPr>
        <w:spacing w:after="0" w:line="9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real estate mortgage investment conduits;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“passive foreign investment companies,” each as defined in the Code, corporations that accumulate earnings to avoid U.S. federal income tax, or expatriated entities subject to Section 7874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use or are required to use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U.S. anti-inversion rules or the base erosion and anti-abuse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persons or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 including an “individual retirement account” as defined in the Code or a “Roth IRA”;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subject to Section 451(b)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straddle, hedging, conversion or integrated transaction or persons entering into a constructive sale with respect to common shares;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through a bank, financial institution or other entity, or a branch thereof, located, organized or resident outside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shares pursuant to the exercise of an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(by vote or value) of our common shares;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or other pass-through entities (including S corporations), or persons holding common shares through such entities.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classified as a partnership for U.S. federal income tax purposes) holds common shares, the U.S. federal income tax treatment of a partner in the partnership generally will depend upon the status of the partner and the activities of the partner and the partnership. A partnership holding our common shares, or a partner in such a partnership, should consult its tax advisors regarding the tax consequences of investing in and holding the common shares.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discussion is based on the federal income tax laws of the United States as of the date of this prospectus, including the Code, existing and proposed Treasury Regulations promulgated thereunder, judicial authority, published administrative positions of the U.S. Internal Revenue Service (“IRS”) and other applicable authorities. All of the foregoing authorities are subject to change or differing interpretations, possibly with retroactive effect and could significantly affect the tax consequences described below. We have not sought, and do not intend to seek, any ruling from the IRS with respect to the statements made and the conclusions reached in the following discussion and there can be no assurance that the IRS or a court will not take a contrary position to the tax consequences discussed.</w:t>
      </w:r>
    </w:p>
    <w:p>
      <w:pPr>
        <w:spacing w:after="0" w:line="18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THIS SUMMARY OF CERTAIN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THE COMMON SHARES ARISING UNDER U.S. FEDERAL ESTATE OR GIFT TAX RULES OR UNDER THE LAWS OF ANY STATE, LOCAL, NON-U.S. OR ANY OTHER TAXING JURISDICTION OR UNDER ANY APPLICABLE TAX TREATY.</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discussion below, a “U.S. Holder” is a beneficial owner of our common shares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jurisdiction over its administration and one or more U.S. persons have the authority to control all of its substantial decisions or (ii) the trust has a valid election in effect under applicable Treasury regulations to treat such trust as a domestic trust.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the Common Shares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that we make to U.S. Holders with respect to our common shares (including the amount of any tax withheld) generally will be taxable as a dividend, to the extent paid out of our current or accumulated earnings and profits, as determined under U.S. federal income tax principles. Such income generally will be includable in gross income in the year actually or constructively received. To the extent the amount of the distribution exceeds our current and accumulated earnings and profits, such excess amount generally will be treated first as a tax-free return of tax basis in the common shares, and then, to the extent such excess amount exceeds the holder’s tax basis in the common shares, as capital gain and will be treated as described below in the section relating to the disposition of our common shares.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Dividends received by corporate U.S. Holders generally will not be eligible for the dividends-received deduction available to U.S. corporations under the Code. Subject to applicable limitations, including conditions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relating to holding period, dividends received by certain non-corporate U.S. Holders may be eligible for taxation as “qualified dividend income” if we are a “qualified foreign corporation” and other conditions discussed below are met. A non-U.S. corporation is treated as a qualified foreign corporation</w:t>
      </w:r>
    </w:p>
    <w:p>
      <w:pPr>
        <w:spacing w:after="0" w:line="1" w:lineRule="exact"/>
        <w:rPr>
          <w:sz w:val="20"/>
          <w:szCs w:val="20"/>
          <w:color w:val="auto"/>
        </w:rPr>
      </w:pPr>
    </w:p>
    <w:p>
      <w:pPr>
        <w:ind w:left="120" w:hanging="4"/>
        <w:spacing w:after="0" w:line="25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dividends paid by that corporation on shares that are readily tradable on an established securities market in the United States (such as Nasdaq) or (ii) if such non-U.S. corporation is eligible for the benefits of a qualifying income tax treaty with the United States that the IRS determines is satisfactory and includes an exchange of information program. However, a non-U.S. corporation will not be treated as a qualified foreign corporation if it is a PFIC in the taxable year in which the dividend is paid or the preceding taxable year. Therefore, subject to applicable limitations, dividends paid to certain non-corporate U.S. Holders may be taxable at rates not in excess of the long-term capital gain rate applicable to such U.S. Holder. U.S. Holders should consult their tax advisors regarding the availability of such lower rate for any dividends paid with respect to our common shares. The amount of a dividend will include any amounts withheld by us in respect of any non-U.S. taxes.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PFIC rules described below, the amount of a dividend generally will be treated as foreign- source dividend. The amount of any dividend income paid in a functional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non-U.S. income taxes withheld from dividends on our common shares may be creditable against the U.S. Holder’s U.S. federal income tax liability. The rules governing foreign tax credits are complex, and U.S. Holders should consult their tax advisors regarding the creditability of any non-U.S. taxes based on their particular circumstances. In lieu of claiming a foreign tax credit, U.S. Holders may, at their election, deduct non-U.S. taxes in computing their taxable income, subject to generally applicable limitations under U.S. law. An election to deduct non-U.S. taxes instead of claiming foreign tax credits applies to all foreign taxes paid or accrued in the taxable year.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the Common Shares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Subject to the PFIC rules described below, U.S. Holders generally will recognize gain or loss on a sale, exchange or other taxable disposition of common shares in an amount equal to the difference between the amount realized for U.S. federal income tax purposes on the sale, exchange or other taxable disposition and the holder’s adjusted tax basis in the common shares. Such gain or loss generally will be capital gain or loss and will be long-term capital gain or loss if the U.S. Holder held the common shares disposed of for more than one year. Any gain or loss recognized by U.S. Holders on a disposition of our common shares generally will be treated as U.S.- source income or loss for foreign tax credit limitation purposes. The deductibility of capital losses is subject to various limitations. U.S. Holders are urged to consult their tax advisors regarding the proper treatment of gain or loss, as well as the availability of a foreign tax credit, based on their particular circumstances.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Code, we may be a PFIC for any taxable year in which, after the application of certain “look- 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Based on the nature of our business, our financial statements, our expectations about the nature and amount of our income, assets and activities and our share price, we do not expect to be a PFIC for U.S. federal income tax purposes for the current taxable year or in the foreseeable future. However, whether we will be a PFIC in the current year or any future year is a factual determination that must be made annually at the close of each taxable year, and, thus, is subject to significant uncertainty. Among other things, a determination of whether we are PFIC will depend on the composition of our income and assets and the market value of our assets from time to time. Accordingly, there can be no assurance that we will not be a PFIC in the current year or any future taxable year.</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or is deemed to hold common shares, we generally would continue to be treated as a PFIC with respect to that U.S. Holder for all succeeding years during which the U.S. Holder holds or is deemed to hold common shares, even if we ceased to meet the threshold requirements for PFIC status, unless under certain circumstances the U.S. Holder makes a valid deemed sale or deemed dividend election under the applicable Treasury regulations with respect to its common shares.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Generally, if we were a PFIC for any taxable year during which a U.S. Holder held or is deemed to have held common shares, gain recognized by a U.S. Holder on a sale or other disposition (including certain pledges) of such common shares, would be allocated ratably over the U.S. Holder’s holding period for such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can avoid certain of the adverse rules described above by making a mark-to-market election with respect to its common shares, provided that the common shares are “marketable.” Common shares generally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the common shares will be adjusted to reflect the income or loss amounts recognized. Any gain recognized on the sale or other disposition of common shares, as applicable, in a year when we are a PFIC will be treated as ordinary income and any loss will be treated as an ordinary loss (but only to the extent of the net amount of income previously included as a result of the mark-to-market election). U.S. Holders should consult their tax advisers regarding the availability and advisability of making a mark-to-market election based on their particular circumstances.</w:t>
      </w:r>
    </w:p>
    <w:p>
      <w:pPr>
        <w:spacing w:after="0" w:line="192"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a U.S. Holder can avoid certain of the adverse rules described above by making a QEF Election with respect to such PFIC, and each PFIC in which the PFIC holds equity interests, if the PFIC provides the information necessary for such election to be made. We do not currently expect to provide information that would allow a U.S. Holder to make a QEF Election in the event that we are classified as a PFIC and, therefore, U.S. Holders should assume such election would not be available.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 U.S. Holder owns common shares during any year in which we are a PFIC, the U.S. Holder generally must file annual reports, containing such information as the U.S. Treasury Department may require on IRS Form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8621 (or any successor form) with respect to us, generally with the U.S. Holder’s federal income tax return for that year, unless otherwise specified in the instructions with respect to such form.</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common shares, as applicable, the consequences to them of an investment in a PFIC, any elections available with respect to the common shares and the IRS information reporting obligations with respect to the purchase, ownership and disposition of common shares of a PFIC.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reporting to the IRS and backup withholding generally will apply to dividends in respect of our common shares and the proceeds from the sale or exchange of our common shares that are paid to U.S. Holders within the United States (and in certain cases, outside the United States). However, backup withholding generally will not apply if the U.S. Holder furnishes a correct taxpayer identification number and make any other required certification, generally on IRS Form W-9, or otherwise establishes an exemption from backup withholding. Backup withholding is not an additional tax. Amounts withheld as backup withholding generally are allowed as a credit against U.S. federal income tax liability and U.S. Holders may be entitled to obtain a refund of any excess amounts withheld under the backup withholding rules if you file an appropriate claim for refund is filed and the required information is furnished to the IRS in a timely manner.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U.S. Holder should consult its tax advisor regarding the application of the information reporting and backup withholding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Each U.S. Holder who is an individual generally will be required to report our name, address and such information relating to an interest in the common shares as is necessary to identify the class or issue of which its common shares are a part. These requirements are subject to exceptions, including an exception for common shares held in accounts maintained by certain financial institutions and an exception applicable if the aggregate value of all “specified foreign financial assets” (as defined in the Code) does not exceed certain thresholds.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U.S. Holder should consult its tax advisor regarding the application of these information reporting rules.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Piper Sandler &amp; Co., J.P. Morgan Securities LLC and Goldman Sachs &amp; Co. LLC are acting as representatives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shares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660" w:type="dxa"/>
            <w:vAlign w:val="bottom"/>
            <w:vMerge w:val="restart"/>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0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1,998,000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$0.83 per share. After the initial offering, the public offering price, concession or any other term of the offering may be changed.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5"/>
                <w:szCs w:val="15"/>
                <w:color w:val="auto"/>
              </w:rPr>
            </w:pP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138,000,000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158,700,000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8,280,000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9,522,000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129,720,000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149,178,000</w:t>
            </w:r>
          </w:p>
        </w:tc>
      </w:tr>
    </w:tbl>
    <w:p>
      <w:pPr>
        <w:spacing w:after="0" w:line="19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approximately $754,000 and are payable by us. We have agreed to reimburse the underwriters for expenses relating to clearance of this offering with the Financial Industry Regulatory Authority and other regulatory fees up to $25,000. In addition, the underwriters have agreed to reimburse us for certain other expenses incurred in connection with this offering.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have granted the underwriters an option to purchase up to an additional 900,000 shares at the public offering price, less the underwriting discount, for 30 days from the date of this prospectus.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have agreed not to sell or transfer any common shares or securities convertible into, exchangeable for, exercisable for, or repayable with common shares (collectively, the “Lock-Up Securities”), for 60 days after the date of this prospectus without first obtaining the written consent of BofA Securities, Inc. and Piper Sandler &amp; Co. Specifically, we and these other persons have agreed, with certain limited exceptions, not to directly or indirectly:</w:t>
      </w:r>
    </w:p>
    <w:p>
      <w:pPr>
        <w:spacing w:after="0" w:line="85"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Lock-Up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Lock-Up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Lock-Up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Lock-Up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Lock-Up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Lock-Up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hedging, swap, loan or any other agreement or any transaction that transfers, in whole or in part, the economic consequence of ownership of any Lock-Up Securities whether any such swap or transaction is to be settled by delivery of shares or other securities, in cash or otherwise;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lock-up provision applies to Lock-Up Securities owned now or acquired later by the person executing the agreement or for which the person executing the agreement has or later acquires the power of disposition, or the Lock-Up Securities. BofA Securities, Inc. and Piper Sandler &amp; Co., in their sole discretion, may release the Lock-Up Securities subject to the lock-up agreements described above in whole or in part at any time with or without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“KMTS.”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shares. However, the representatives may engage in transactions that stabilize the price of the common shares, such as bids or purchases to peg, fix or maintain that price.</w:t>
      </w:r>
    </w:p>
    <w:p>
      <w:pPr>
        <w:spacing w:after="0" w:line="176"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our common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shares in the open market after pricing that could adversely affect investors who purchase in the offering. Stabilizing transactions consist of various bids for or purchases of shares of common shares made by the underwriters in the open market prior to the completion of the offering.</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shares. In addition, neither we nor any of the underwriters make any representation that the representatives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common shares on the Nasdaq Global Select Market in accordance with Rule 103 of Regulation M under the Exchange Act during a period before the commencement of offers or sales of common shares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shares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110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respective affiliates will rely upon the truth and accuracy of the foregoing representations, acknowledgements and agreements.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relation to the United Kingdom (“UK”), no shares have been offered or will be offered pursuant to this offering to the public in the UK prior to the publication of a prospectus in relation to the shares which has been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 provided that no such offer of shares shall require the Company or any underwriter to publish a prospectus pursuant to Section 85 of the FSMA or Article 3 of the UK Prospectus Regulation or supplement a prospectus pursuant to Article 23 of the UK Prospectus Regulation.</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respective affiliates will rely upon the truth and accuracy of the foregoing representations, acknowledgements and agreements.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 as amended.</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60"/>
          </w:cols>
          <w:pgMar w:left="320" w:top="455"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exemptions contained in section 708 of the Corporations Act so that it is lawful to offer the shares without disclosure to investors under Chapter 6D of the Corporations Act.</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common shares and certain other matters of Bermuda law will be passed upon for us by Walkers (Bermuda) Limited, our special Bermuda counsel. Certain other legal matters will be passed upon for us by Kirkland &amp; Ellis LLP, New York, New York, and for the underwriters by Allen Overy Shearman Sterling US LLP, New York, New York.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April 30, 2025 have been so incorporated in reliance on the report (which contains an emphasis of matter paragraph relating to the Company’s financial results and management’s plans as described in Note 1 to the financial statements)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our company and the common shares offered by this prospectus, we refer you to the registration statement and its exhibits. Statements or summaries contained in this prospectus as to the material contents of any contract or any other document referred to herein are not necessarily complete, and in each instance, we refer you to the copy of the contract or other document filed as an exhibit to the registration statement. Each of these statements or summaries is qualified in all respects by this reference. You can read our SEC filings, including the registration statement, over the internet at the SEC’s website at www.sec.gov.</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in accordance with the Exchange Act, we file annual, quarterly and current reports, proxy statements and other information with the SEC. Our filings with the SEC are available to the public on the SEC’s website at www.sec.gov. We also maintain a website at https://www.kestramedical.com, at which you may access these materials free of charge as soon as reasonably practicable after they are electronically filed with, or furnished to, the SEC. The information we file with the SEC or contained on or accessible through our corporate website or any other website that we may maintain is not part of this prospectus or the registration statement of which this prospectus is a part.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 ACT 2025</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3, 2025, the Beneficial Ownership Act 2025 (the “BO Act”) was officially enacted (replacing Bermuda Exchange Control regulations in its entirety), establishing a new beneficial ownership framework in alignment with the Financial Action Task Force (“FATF”) international provisions and in anticipation of Bermuda’s FATF mutual evaluation that is expected to commence in October 2026. Pursuant to the BO Act, no person shall become the beneficial owner of a “legal person”, each term as defined within the BO Act, without the approval of the Registrar of Companies. However, for so long as our common shares are listed on an appointed stock exchange (which would include the Nasdaq Global Select Market) for the purposes of the Companies Act, such legal person will be exempted from the application of the BO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 UNDER U.S. FEDERAL SECURITIES LAWS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Bermuda exempted company limited by shares. As a result, the rights of holders of our common shares will be governed by Bermuda law, our memorandum of association and the amended and restated bye-laws to be in effect upon the closing of this offering. The rights of shareholders under Bermuda law may differ from the rights of shareholders of companies incorporated in other jurisdictions. It may be difficult for investors to enforce in the United States judgments obtained in U.S. courts against us based on the civil liability provisions of the U.S. securities laws. Our principal office is located at 3933 Lake Washington Blvd NE, Suite 200, Kirkland, Washington 98033, and our registered office is located in Bermuda at Cumberland House, 7th Floor, 1 Victoria Street, Hamilton HM 11, Bermuda.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our special Bermuda counsel that there is no treaty in force between the United States and Bermuda providing for the reciprocal recognition and enforcement of judgments in civil and commercial matters. As a result, whether a U.S. judgment would be enforceable in Bermuda against us or our directors and officers depends on whether the U.S. court that entered the judgment is recognized by a Bermuda court as having jurisdiction over us or our directors and officers, as determined by reference to Bermuda conflict of law rules. The courts of Bermuda would recognize as a valid judgment, a final and conclusive judgment in personam obtained in a U.S. court pursuant to which a sum of money is payable (other than a sum of money payable in respect of multiple damages, taxes or other charges of a like nature or in respect of a fine or other penalty). The courts of Bermuda would give a judgment based on such a U.S. judgment as long as (1) the U.S. court had proper jurisdiction over the parties subject to the judgment; (2) the U.S. court did not contravene the rules of natural justice of Bermuda; (3) the U.S. judgment was not obtained by fraud; (4) the enforcement of the U.S. judgment would not be contrary to the public policy of Bermuda; (5) no new admissible evidence relevant to the action is submitted prior to the rendering of the judgment by the courts of Bermuda; (6) there is due compliance with the correct procedures under the laws of Bermuda; and (7) the U.S. judgment is not inconsistent with any judgment of the courts of Bermuda in respect of the same matter.</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and irrespective of jurisdictional issues, the Bermuda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would not be available under Bermuda law or enforceable in a Bermuda court, as they are likely to be contrary to Bermuda public policy. Further, it may not be possible to pursue direct claims in Bermuda against us or our directors and officers for alleged violations of U.S. federal securities laws because these laws are unlikely to have extraterritorial effect and do not have force of law in Bermuda. A Bermuda court may, however, impose civil liability on us or our directors and officers if the facts alleged and proved in the Bermuda proceedings constitute or give rise to a cause of action under the applicable governing law, not being a foreign public, penal or revenue law.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we file with the SEC. This means that we are disclosing important information to you by referring to other documents. The information incorporated by reference is considered to be part of this prospectus. To the extent there are inconsistencies between the information contained in this prospectus and the information contained in the documents filed with the SEC prior to the date of this prospectus and incorporated by reference, the information in this prospectus shall be deemed to supersede the information in such incorporated documents.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documents that we file with the SEC (excluding any portion of such documents that are furnished and not filed with the SEC) under Sections 13(a), 13(c), 14 or 15(d) of the Exchange Act (1) on and after the date of the initial filing of the registration statement of which this prospectus is a part prior to the effectiveness of the registration statement and (2) after the date of effectiveness of this prospectus until the offering of the underlying securities is completed or terminated; provided, however, we are not incorporating by reference any information furnished (but not filed) under Item 2.02 or Item 7.01 of any Current Report on Form 8-K:</w:t>
      </w:r>
    </w:p>
    <w:p>
      <w:pPr>
        <w:spacing w:after="0" w:line="8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April 30, 2025, filed with the SEC on July 17,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0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July 31, 2025, filed with the SEC on September 12, 2025;</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April 30, 2025 from our Definitive Proxy Statement on </w:t>
      </w:r>
      <w:hyperlink r:id="rId10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July 22, 2025;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07">
        <w:r>
          <w:rPr>
            <w:rFonts w:ascii="Times New Roman" w:cs="Times New Roman" w:eastAsia="Times New Roman" w:hAnsi="Times New Roman"/>
            <w:sz w:val="18"/>
            <w:szCs w:val="18"/>
            <w:u w:val="single" w:color="auto"/>
            <w:color w:val="0000EE"/>
          </w:rPr>
          <w:t>June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8">
        <w:r>
          <w:rPr>
            <w:rFonts w:ascii="Times New Roman" w:cs="Times New Roman" w:eastAsia="Times New Roman" w:hAnsi="Times New Roman"/>
            <w:sz w:val="18"/>
            <w:szCs w:val="18"/>
            <w:u w:val="single" w:color="auto"/>
            <w:color w:val="0000EE"/>
          </w:rPr>
          <w:t>September 4,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has been delivered, a copy of any and all of these filings. You may request a copy of these filings by writing to us at 3933 Lake Washington Blvd NE, Suite 200, Kirkland, Washington 98033.</w:t>
      </w:r>
    </w:p>
    <w:p>
      <w:pPr>
        <w:spacing w:after="0" w:line="162" w:lineRule="exact"/>
        <w:rPr>
          <w:rFonts w:ascii="Times New Roman" w:cs="Times New Roman" w:eastAsia="Times New Roman" w:hAnsi="Times New Roman"/>
          <w:sz w:val="18"/>
          <w:szCs w:val="18"/>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You also may access these filings on our website at </w:t>
      </w:r>
      <w:r>
        <w:rPr>
          <w:rFonts w:ascii="Times New Roman" w:cs="Times New Roman" w:eastAsia="Times New Roman" w:hAnsi="Times New Roman"/>
          <w:sz w:val="18"/>
          <w:szCs w:val="18"/>
          <w:u w:val="single" w:color="auto"/>
          <w:color w:val="auto"/>
        </w:rPr>
        <w:t>https://www.kestramedical.com</w:t>
      </w:r>
      <w:r>
        <w:rPr>
          <w:rFonts w:ascii="Times New Roman" w:cs="Times New Roman" w:eastAsia="Times New Roman" w:hAnsi="Times New Roman"/>
          <w:sz w:val="18"/>
          <w:szCs w:val="18"/>
          <w:color w:val="auto"/>
        </w:rPr>
        <w:t>. We do not incorporate the information on our website in this prospectus and you should not consider any information on, or that can be accessed through, our website as part of this prospectus (other than those filings with the SEC that we specifically incorporate by reference in this prospectus).</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9"/>
          <w:szCs w:val="29"/>
          <w:b w:val="1"/>
          <w:bCs w:val="1"/>
          <w:color w:val="auto"/>
        </w:rPr>
        <w:t>      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180975</wp:posOffset>
            </wp:positionV>
            <wp:extent cx="2760345" cy="754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7603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727075</wp:posOffset>
            </wp:positionV>
            <wp:extent cx="1474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0"/>
        <w:spacing w:after="0"/>
        <w:tabs>
          <w:tab w:leader="none" w:pos="2780" w:val="left"/>
          <w:tab w:leader="none" w:pos="5300" w:val="left"/>
          <w:tab w:leader="none" w:pos="764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Piper Sandler</w:t>
      </w:r>
      <w:r>
        <w:rPr>
          <w:sz w:val="20"/>
          <w:szCs w:val="20"/>
          <w:color w:val="auto"/>
        </w:rPr>
        <w:tab/>
      </w:r>
      <w:r>
        <w:rPr>
          <w:rFonts w:ascii="Times New Roman" w:cs="Times New Roman" w:eastAsia="Times New Roman" w:hAnsi="Times New Roman"/>
          <w:sz w:val="25"/>
          <w:szCs w:val="25"/>
          <w:b w:val="1"/>
          <w:bCs w:val="1"/>
          <w:color w:val="auto"/>
        </w:rPr>
        <w:t>J.P. Morgan</w:t>
      </w:r>
      <w:r>
        <w:rPr>
          <w:sz w:val="20"/>
          <w:szCs w:val="20"/>
          <w:color w:val="auto"/>
        </w:rPr>
        <w:tab/>
      </w:r>
      <w:r>
        <w:rPr>
          <w:rFonts w:ascii="Times New Roman" w:cs="Times New Roman" w:eastAsia="Times New Roman" w:hAnsi="Times New Roman"/>
          <w:sz w:val="25"/>
          <w:szCs w:val="25"/>
          <w:b w:val="1"/>
          <w:bCs w:val="1"/>
          <w:color w:val="auto"/>
        </w:rPr>
        <w:t>Goldman Sachs &amp; Co. LLC</w:t>
      </w:r>
    </w:p>
    <w:p>
      <w:pPr>
        <w:spacing w:after="0" w:line="2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1044575</wp:posOffset>
            </wp:positionV>
            <wp:extent cx="1474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640"/>
      </w:cols>
      <w:pgMar w:left="320" w:top="455"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lvl w:ilvl="1">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lvl w:ilvl="1">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3"/>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2"/>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jpe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04" Type="http://schemas.openxmlformats.org/officeDocument/2006/relationships/hyperlink" Target="http://www.sec.gov/ix?doc=/Archives/edgar/data/1877184/000095017025096609/ck0001877184-20250430.htm" TargetMode="External"/><Relationship Id="rId105" Type="http://schemas.openxmlformats.org/officeDocument/2006/relationships/hyperlink" Target="http://www.sec.gov/ix?doc=/Archives/edgar/data/1877184/000095017025114536/ck0001877184-20250731.htm" TargetMode="External"/><Relationship Id="rId106" Type="http://schemas.openxmlformats.org/officeDocument/2006/relationships/hyperlink" Target="http://www.sec.gov/Archives/edgar/data/1877184/000119312525162541/d78457ddef14a.htm" TargetMode="External"/><Relationship Id="rId107" Type="http://schemas.openxmlformats.org/officeDocument/2006/relationships/hyperlink" Target="http://www.sec.gov/ix?doc=/Archives/edgar/data/1877184/000119312525136269/d926981d8k.htm" TargetMode="External"/><Relationship Id="rId108" Type="http://schemas.openxmlformats.org/officeDocument/2006/relationships/hyperlink" Target="http://www.sec.gov/ix?doc=/Archives/edgar/data/1877184/000095017025113058/ck0001877184-202509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2025-12-03T16:28:59Z</dcterms:created>
  <dcterms:modified xsi:type="dcterms:W3CDTF">2025-12-03T16:28:59Z</dcterms:modified>
</cp:coreProperties>
</file>