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Moran Timothy P.</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980" w:type="dxa"/>
            <w:vAlign w:val="bottom"/>
          </w:tcPr>
          <w:p>
            <w:pPr>
              <w:ind w:left="16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3933 LAKE WASHINGTON BLVD NE</w:t>
            </w:r>
          </w:p>
        </w:tc>
      </w:tr>
      <w:tr>
        <w:trPr>
          <w:trHeight w:val="267"/>
        </w:trPr>
        <w:tc>
          <w:tcPr>
            <w:tcW w:w="40" w:type="dxa"/>
            <w:vAlign w:val="bottom"/>
          </w:tcPr>
          <w:p>
            <w:pPr>
              <w:spacing w:after="0"/>
              <w:rPr>
                <w:sz w:val="23"/>
                <w:szCs w:val="23"/>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SUITE 200</w:t>
            </w:r>
          </w:p>
        </w:tc>
        <w:tc>
          <w:tcPr>
            <w:tcW w:w="9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KIRKLAND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98033</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KESTRA MEDICAL TECHNOLOGIES,</w:t>
              </w:r>
            </w:hyperlink>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440" w:type="dxa"/>
            <w:vAlign w:val="bottom"/>
            <w:tcBorders>
              <w:bottom w:val="single" w:sz="8" w:color="0000EE"/>
            </w:tcBorders>
          </w:tcPr>
          <w:p>
            <w:pPr>
              <w:spacing w:after="0"/>
              <w:rPr>
                <w:sz w:val="3"/>
                <w:szCs w:val="3"/>
                <w:color w:val="auto"/>
              </w:rPr>
            </w:pPr>
          </w:p>
        </w:tc>
        <w:tc>
          <w:tcPr>
            <w:tcW w:w="3140" w:type="dxa"/>
            <w:vAlign w:val="bottom"/>
            <w:tcBorders>
              <w:bottom w:val="single" w:sz="8" w:color="0000EE"/>
            </w:tcBorders>
          </w:tcPr>
          <w:p>
            <w:pPr>
              <w:spacing w:after="0"/>
              <w:rPr>
                <w:sz w:val="3"/>
                <w:szCs w:val="3"/>
                <w:color w:val="auto"/>
              </w:rPr>
            </w:pPr>
          </w:p>
        </w:tc>
        <w:tc>
          <w:tcPr>
            <w:tcW w:w="1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LTD.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KMTS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80" w:type="dxa"/>
            <w:vAlign w:val="bottom"/>
          </w:tcPr>
          <w:p>
            <w:pPr>
              <w:spacing w:after="0"/>
              <w:rPr>
                <w:sz w:val="7"/>
                <w:szCs w:val="7"/>
                <w:color w:val="auto"/>
              </w:rPr>
            </w:pPr>
          </w:p>
        </w:tc>
        <w:tc>
          <w:tcPr>
            <w:tcW w:w="3740" w:type="dxa"/>
            <w:vAlign w:val="bottom"/>
            <w:gridSpan w:val="3"/>
            <w:vMerge w:val="continue"/>
          </w:tcPr>
          <w:p>
            <w:pPr>
              <w:spacing w:after="0"/>
              <w:rPr>
                <w:sz w:val="7"/>
                <w:szCs w:val="7"/>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14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860"/>
              <w:spacing w:after="0" w:line="185" w:lineRule="exact"/>
              <w:rPr>
                <w:sz w:val="20"/>
                <w:szCs w:val="20"/>
                <w:color w:val="auto"/>
              </w:rPr>
            </w:pPr>
            <w:r>
              <w:rPr>
                <w:rFonts w:ascii="Times New Roman" w:cs="Times New Roman" w:eastAsia="Times New Roman" w:hAnsi="Times New Roman"/>
                <w:sz w:val="17"/>
                <w:szCs w:val="17"/>
                <w:color w:val="0000FF"/>
              </w:rPr>
              <w:t>Chief Business Officer</w:t>
            </w:r>
          </w:p>
        </w:tc>
        <w:tc>
          <w:tcPr>
            <w:tcW w:w="0" w:type="dxa"/>
            <w:vAlign w:val="bottom"/>
          </w:tcPr>
          <w:p>
            <w:pPr>
              <w:spacing w:after="0"/>
              <w:rPr>
                <w:sz w:val="1"/>
                <w:szCs w:val="1"/>
                <w:color w:val="auto"/>
              </w:rPr>
            </w:pPr>
          </w:p>
        </w:tc>
      </w:tr>
      <w:tr>
        <w:trPr>
          <w:trHeight w:val="226"/>
        </w:trPr>
        <w:tc>
          <w:tcPr>
            <w:tcW w:w="36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06/03/2026</w:t>
            </w:r>
          </w:p>
        </w:tc>
        <w:tc>
          <w:tcPr>
            <w:tcW w:w="1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14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22,704</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42,261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 that entitle the Reporting Person to receive, at settlement, one common share of Kestra Medical Technologies, Ltd. Subject to the Reporting Person's continued service, the RSUs will vest over three years, with 1/3 vesting on each anniversary of June 3, 2026.</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Traci S. Umberger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66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Timothy P. 06/04/2026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933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337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53958" TargetMode="External"/><Relationship Id="rId14" Type="http://schemas.openxmlformats.org/officeDocument/2006/relationships/hyperlink" Target="http://www.sec.gov/cgi-bin/browse-edgar?action=getcompany&amp;CIK=00018771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2026-06-04T17:42:44Z</dcterms:created>
  <dcterms:modified xsi:type="dcterms:W3CDTF">2026-06-04T17:42:44Z</dcterms:modified>
</cp:coreProperties>
</file>