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Webster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Kestra Medical Technologies,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3933 Lake Washington Blvd NE,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Kirkland, WA 98033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Kestra Medical Technologies,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 17,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0001877184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Brian Webster: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respond to this letter by providing the requested information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submitting an amended draft registration statement or publicly filing your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EDGAR. If you do not believe a comment applies to your facts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any references to prior comments are to comments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January 7, 2025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Draft Registration Statement on Form S-1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Market Opportunity, page 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1, including your disclosure on page 5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"indications for use of WCDs include patients with a LVEF less than or equal to 35%</w:t>
      </w:r>
    </w:p>
    <w:p>
      <w:pPr>
        <w:ind w:right="339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 MI within the past 40 days, patients who have had a revascularization procedure</w:t>
      </w:r>
    </w:p>
    <w:p>
      <w:pPr>
        <w:ind w:right="327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past three months, or patients with nonischemic cardiomyopathy with heart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failure symptoms and potentially reversible causes; patients with documented VT/VF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 inherited genetic condition that places them at high risk for SCA; or patients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have had their ICD temporarily explanted." Given it appears that patients who do</w:t>
      </w:r>
    </w:p>
    <w:p>
      <w:pPr>
        <w:ind w:right="8339" w:firstLine="105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29,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have a low LVEF are eligible for WCD therapy, please revise to explain why you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 your U.S. and international total market opportunity on patients with low LVEF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rather than all patients eligible for WCD therapy, or advise. Please also revise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on page iii to briefly explain how you selected the various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 markets.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3. Please revise to more specifically identify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approximate amount of your net proceeds to be used for each of the principal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disclosed. Refer to Item 504 of Regulation S-K.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 Discussion and Analysis of Financial Condition and Results of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Margin, page 103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your explanation for the October 31 gross profit variance is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identical to your explanation for the April 30 variance. However, it is not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clear why you were able to generate a 36% gross profit margin on the $27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generated in the October 31, 2024 period whereas the margin on your $27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million of sales in the April 30, 2024 period was only 1%. Please expand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identify the primary causes for this disparity i.e.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pricing,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 charges, uncollectible accounts, etc.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Policies, page 113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read your response to prior comment 6 and reissue in part. Please expand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clearly explains the material risks that impact the valuation of this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asset. In this regard, your risk factor on page 32 addresses potential losses from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damage and return failures but does not state whether such losses have historically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material. Such disclosure is necessary for readers to fully assess the magnitude</w:t>
      </w:r>
    </w:p>
    <w:p>
      <w:pPr>
        <w:ind w:right="8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risk. Business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Clinical Results and Studies, page 136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9. Please revise to briefly discuss how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collected the real-world evidence in connection with the ACE-PAS study. Unaudited Condensed Consolidated Financial Statements of West Affum Intermediate</w:t>
      </w:r>
    </w:p>
    <w:p>
      <w:pPr>
        <w:ind w:right="8239"/>
        <w:spacing w:after="0" w:line="377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Holdings Corp. Note 10, page F-20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disclosures here and on page F-42 should state the the stock was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to the Parent. The existing disclosure states that the Company issued stock "of</w:t>
      </w:r>
    </w:p>
    <w:p>
      <w:pPr>
        <w:ind w:right="813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Parent". Note 11, page F-20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this disclosure to explain why the stock is characterized as "Redeemable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Shares" given your stated conclusion that the stock "is not considered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redeemable". Please also tell us how you considered ASC 480-10-S99-3A regarding</w:t>
      </w:r>
    </w:p>
    <w:p>
      <w:pPr>
        <w:ind w:left="120" w:right="6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classification of the stock. January 29,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 Pavot at 202-551-3738 or Terence O'Brien at 202-551-3355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Juan Grana at 202-551-6034 or Margaret Sawicki at 202-551-7153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Sophia Hudson, P.C.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2025-04-02T23:10:36Z</dcterms:created>
  <dcterms:modified xsi:type="dcterms:W3CDTF">2025-04-02T23:10:36Z</dcterms:modified>
</cp:coreProperties>
</file>