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Ladone Mary Kay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KESTRA MEDICAL TECHNOLOGIES,</w:t>
              </w:r>
            </w:hyperlink>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KESTRA MEDICAL TECHNOLOGIES,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LTD.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4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09/04/2025</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3933 LAKE WASHINGTON BLVD NE,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200</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KIRKLAND</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98033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gridSpan w:val="2"/>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31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09/04/2025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10,909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23,903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5"/>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("RSUs") which each entitle the Reporting Person to receive one common share of the Issuer. The RSUs will vest on September 4, 2026, subject to the Reporting Person's continued service through such date.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12,994 restricted common shares of the Issuer that were automatically converted in connection with the Issuer's initial public offering from Class A Common Units of West Affum Holdings, L.P. previously held by the Reporting Person which were originally granted on October 7, 2024. The restricted common shares vest into common shares of the Issuer. 4,331 restricted common shares will vest on October 7, 2025, 4,331 restricted common shares will vest on October 7, 2026 and 4,332 restricted common shares will vest on October 7, 2027.</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Mary Kay Ladone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09/08/2025</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SECTION 13 &amp; 16 REPORTING OBLIGATIONS</w:t>
      </w:r>
    </w:p>
    <w:p>
      <w:pPr>
        <w:spacing w:after="0" w:line="187" w:lineRule="exact"/>
        <w:rPr>
          <w:sz w:val="20"/>
          <w:szCs w:val="20"/>
          <w:color w:val="auto"/>
        </w:rPr>
      </w:pPr>
    </w:p>
    <w:p>
      <w:pPr>
        <w:jc w:val="both"/>
        <w:ind w:firstLine="85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Brian Webster and Traci S. Umberger, each signing singly, as the undersigned's true and lawful attorney-in-fact, with full power and authority as hereinafter described on behalf of and in the name, place and stead of the undersigned to:</w:t>
      </w:r>
    </w:p>
    <w:p>
      <w:pPr>
        <w:spacing w:after="0" w:line="164" w:lineRule="exact"/>
        <w:rPr>
          <w:sz w:val="20"/>
          <w:szCs w:val="20"/>
          <w:color w:val="auto"/>
        </w:rPr>
      </w:pPr>
    </w:p>
    <w:p>
      <w:pPr>
        <w:jc w:val="both"/>
        <w:ind w:left="740" w:hanging="354"/>
        <w:spacing w:after="0" w:line="263" w:lineRule="auto"/>
        <w:tabs>
          <w:tab w:leader="none" w:pos="740" w:val="left"/>
        </w:tabs>
        <w:numPr>
          <w:ilvl w:val="0"/>
          <w:numId w:val="3"/>
        </w:numPr>
        <w:rPr>
          <w:rFonts w:ascii="Times New Roman" w:cs="Times New Roman" w:eastAsia="Times New Roman" w:hAnsi="Times New Roman"/>
          <w:sz w:val="18"/>
          <w:szCs w:val="18"/>
          <w:color w:val="4D4D4F"/>
        </w:rPr>
      </w:pPr>
      <w:r>
        <w:rPr>
          <w:rFonts w:ascii="Times New Roman" w:cs="Times New Roman" w:eastAsia="Times New Roman" w:hAnsi="Times New Roman"/>
          <w:sz w:val="17"/>
          <w:szCs w:val="17"/>
          <w:color w:val="auto"/>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Kestra Medical Technologies, Ltd, a Bermuda limited company, or any successor thereto (the “Company”), with the U.S. Securities and Exchange Commission, any national securities exchanges and the Company, as considered necessary or advisable under Section 16(a) of the Exchange Act and the rules and regulations promulgated thereunder, as amended from time to time the Exchange Act;</w:t>
      </w:r>
    </w:p>
    <w:p>
      <w:pPr>
        <w:jc w:val="both"/>
        <w:ind w:left="740" w:right="20" w:hanging="354"/>
        <w:spacing w:after="0" w:line="243" w:lineRule="auto"/>
        <w:tabs>
          <w:tab w:leader="none" w:pos="740" w:val="left"/>
        </w:tabs>
        <w:numPr>
          <w:ilvl w:val="0"/>
          <w:numId w:val="3"/>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ind w:left="740" w:right="20" w:hanging="354"/>
        <w:spacing w:after="0" w:line="243" w:lineRule="auto"/>
        <w:tabs>
          <w:tab w:leader="none" w:pos="740" w:val="left"/>
        </w:tabs>
        <w:numPr>
          <w:ilvl w:val="0"/>
          <w:numId w:val="3"/>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perform any and all other acts which in the discretion of such attorney-in-fact is necessary or desirable for and on behalf of the undersigned in connection with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33" w:lineRule="exact"/>
        <w:rPr>
          <w:sz w:val="20"/>
          <w:szCs w:val="20"/>
          <w:color w:val="auto"/>
        </w:rPr>
      </w:pPr>
    </w:p>
    <w:p>
      <w:pPr>
        <w:ind w:left="740" w:hanging="354"/>
        <w:spacing w:after="0" w:line="244" w:lineRule="auto"/>
        <w:tabs>
          <w:tab w:leader="none" w:pos="740" w:val="left"/>
        </w:tabs>
        <w:numPr>
          <w:ilvl w:val="0"/>
          <w:numId w:val="4"/>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1" w:lineRule="exact"/>
        <w:rPr>
          <w:rFonts w:ascii="Times New Roman" w:cs="Times New Roman" w:eastAsia="Times New Roman" w:hAnsi="Times New Roman"/>
          <w:sz w:val="20"/>
          <w:szCs w:val="20"/>
          <w:color w:val="4D4D4F"/>
        </w:rPr>
      </w:pPr>
    </w:p>
    <w:p>
      <w:pPr>
        <w:jc w:val="both"/>
        <w:ind w:left="740" w:right="20" w:hanging="354"/>
        <w:spacing w:after="0" w:line="243" w:lineRule="auto"/>
        <w:tabs>
          <w:tab w:leader="none" w:pos="740" w:val="left"/>
        </w:tabs>
        <w:numPr>
          <w:ilvl w:val="0"/>
          <w:numId w:val="4"/>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jc w:val="both"/>
        <w:ind w:left="740" w:right="20" w:hanging="354"/>
        <w:spacing w:after="0" w:line="243" w:lineRule="auto"/>
        <w:tabs>
          <w:tab w:leader="none" w:pos="740" w:val="left"/>
        </w:tabs>
        <w:numPr>
          <w:ilvl w:val="0"/>
          <w:numId w:val="4"/>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ind w:left="740" w:hanging="354"/>
        <w:spacing w:after="0" w:line="243" w:lineRule="auto"/>
        <w:tabs>
          <w:tab w:leader="none" w:pos="740" w:val="left"/>
        </w:tabs>
        <w:numPr>
          <w:ilvl w:val="0"/>
          <w:numId w:val="4"/>
        </w:numPr>
        <w:rPr>
          <w:rFonts w:ascii="Times New Roman" w:cs="Times New Roman" w:eastAsia="Times New Roman" w:hAnsi="Times New Roman"/>
          <w:sz w:val="20"/>
          <w:szCs w:val="20"/>
          <w:color w:val="4D4D4F"/>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pacing w:after="0" w:line="178" w:lineRule="exact"/>
        <w:rPr>
          <w:sz w:val="20"/>
          <w:szCs w:val="20"/>
          <w:color w:val="auto"/>
        </w:rPr>
      </w:pPr>
    </w:p>
    <w:p>
      <w:pPr>
        <w:jc w:val="both"/>
        <w:ind w:right="20" w:firstLine="852"/>
        <w:spacing w:after="0" w:line="256" w:lineRule="auto"/>
        <w:rPr>
          <w:sz w:val="20"/>
          <w:szCs w:val="20"/>
          <w:color w:val="auto"/>
        </w:rPr>
      </w:pPr>
      <w:r>
        <w:rPr>
          <w:rFonts w:ascii="Times New Roman" w:cs="Times New Roman" w:eastAsia="Times New Roman" w:hAnsi="Times New Roman"/>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by the undersigned in a signed writing delivered to such attorney-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in-fact.</w:t>
      </w: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September, 2025.</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0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Mary Kay Ladone</w:t>
            </w:r>
          </w:p>
        </w:tc>
      </w:tr>
      <w:tr>
        <w:trPr>
          <w:trHeight w:val="188"/>
        </w:trPr>
        <w:tc>
          <w:tcPr>
            <w:tcW w:w="5500" w:type="dxa"/>
            <w:vAlign w:val="bottom"/>
          </w:tcPr>
          <w:p>
            <w:pPr>
              <w:ind w:left="48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2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Mary Kay Ladone</w:t>
            </w:r>
          </w:p>
        </w:tc>
        <w:tc>
          <w:tcPr>
            <w:tcW w:w="3300" w:type="dxa"/>
            <w:vAlign w:val="bottom"/>
          </w:tcPr>
          <w:p>
            <w:pPr>
              <w:spacing w:after="0"/>
              <w:rPr>
                <w:sz w:val="16"/>
                <w:szCs w:val="16"/>
                <w:color w:val="auto"/>
              </w:rPr>
            </w:pPr>
          </w:p>
        </w:tc>
      </w:tr>
      <w:tr>
        <w:trPr>
          <w:trHeight w:val="232"/>
        </w:trPr>
        <w:tc>
          <w:tcPr>
            <w:tcW w:w="550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605"/>
        </w:trPr>
        <w:tc>
          <w:tcPr>
            <w:tcW w:w="55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0980"/>
      </w:cols>
      <w:pgMar w:left="460" w:top="100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0737"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2025-09-08T16:47:26Z</dcterms:created>
  <dcterms:modified xsi:type="dcterms:W3CDTF">2025-09-08T16:47:26Z</dcterms:modified>
</cp:coreProperties>
</file>